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CCBFB" w14:textId="47ABABF7" w:rsidR="00E67CFC" w:rsidRPr="00DA481A" w:rsidRDefault="00E67CFC" w:rsidP="00E67CFC">
      <w:pPr>
        <w:rPr>
          <w:rFonts w:ascii="Century Gothic" w:hAnsi="Century Gothic"/>
          <w:color w:val="000000" w:themeColor="text1"/>
        </w:rPr>
      </w:pPr>
    </w:p>
    <w:p w14:paraId="035586E5" w14:textId="77777777" w:rsidR="00DA481A" w:rsidRPr="00DA481A" w:rsidRDefault="00A15EAC" w:rsidP="00DA481A">
      <w:pPr>
        <w:pStyle w:val="3Policytitle"/>
        <w:jc w:val="center"/>
        <w:rPr>
          <w:rFonts w:ascii="Century Gothic" w:hAnsi="Century Gothic"/>
          <w:color w:val="000000" w:themeColor="text1"/>
        </w:rPr>
      </w:pPr>
      <w:r w:rsidRPr="00DA481A">
        <w:rPr>
          <w:rFonts w:ascii="Century Gothic" w:hAnsi="Century Gothic"/>
          <w:color w:val="000000" w:themeColor="text1"/>
        </w:rPr>
        <w:t>Early career teacher (ECT) induction policy</w:t>
      </w:r>
    </w:p>
    <w:p w14:paraId="576FA058" w14:textId="7635A706" w:rsidR="00A15EAC" w:rsidRPr="00DA481A" w:rsidRDefault="00DA481A" w:rsidP="00DA481A">
      <w:pPr>
        <w:pStyle w:val="3Policytitle"/>
        <w:jc w:val="center"/>
        <w:rPr>
          <w:rFonts w:ascii="Century Gothic" w:hAnsi="Century Gothic"/>
          <w:color w:val="000000" w:themeColor="text1"/>
        </w:rPr>
      </w:pPr>
      <w:r w:rsidRPr="00DA481A">
        <w:rPr>
          <w:rFonts w:ascii="Century Gothic" w:hAnsi="Century Gothic"/>
          <w:color w:val="000000" w:themeColor="text1"/>
        </w:rPr>
        <w:t>Aldersbrook Primary School</w:t>
      </w:r>
    </w:p>
    <w:p w14:paraId="7067248F" w14:textId="77777777" w:rsidR="00A15EAC" w:rsidRPr="00DA481A" w:rsidRDefault="00A15EAC" w:rsidP="00A15EAC">
      <w:pPr>
        <w:pStyle w:val="1bodycopy10pt"/>
        <w:rPr>
          <w:rFonts w:ascii="Century Gothic" w:hAnsi="Century Gothic"/>
          <w:color w:val="000000" w:themeColor="text1"/>
        </w:rPr>
      </w:pPr>
    </w:p>
    <w:p w14:paraId="3FF284ED" w14:textId="4CBE3005" w:rsidR="00A15EAC" w:rsidRPr="00DA481A" w:rsidRDefault="00A15EAC" w:rsidP="00A15EAC">
      <w:pPr>
        <w:pStyle w:val="1bodycopy10pt"/>
        <w:rPr>
          <w:rFonts w:ascii="Century Gothic" w:hAnsi="Century Gothic"/>
          <w:noProof/>
          <w:color w:val="000000" w:themeColor="text1"/>
          <w:szCs w:val="20"/>
        </w:rPr>
      </w:pPr>
    </w:p>
    <w:p w14:paraId="55E23F0E" w14:textId="77777777" w:rsidR="00A15EAC" w:rsidRPr="00DA481A" w:rsidRDefault="00A15EAC" w:rsidP="00A15EAC">
      <w:pPr>
        <w:pStyle w:val="1bodycopy10pt"/>
        <w:rPr>
          <w:rFonts w:ascii="Century Gothic" w:hAnsi="Century Gothic"/>
          <w:noProof/>
          <w:color w:val="000000" w:themeColor="text1"/>
        </w:rPr>
      </w:pPr>
    </w:p>
    <w:p w14:paraId="6399D673" w14:textId="77777777" w:rsidR="00A15EAC" w:rsidRPr="00DA481A" w:rsidRDefault="00A15EAC" w:rsidP="00A15EAC">
      <w:pPr>
        <w:pStyle w:val="1bodycopy10pt"/>
        <w:rPr>
          <w:rFonts w:ascii="Century Gothic" w:hAnsi="Century Gothic"/>
          <w:noProof/>
          <w:color w:val="000000" w:themeColor="text1"/>
        </w:rPr>
      </w:pPr>
    </w:p>
    <w:p w14:paraId="1FC4D5DE" w14:textId="77777777" w:rsidR="00A15EAC" w:rsidRPr="00DA481A" w:rsidRDefault="00A15EAC" w:rsidP="00A15EAC">
      <w:pPr>
        <w:pStyle w:val="1bodycopy10pt"/>
        <w:rPr>
          <w:rFonts w:ascii="Century Gothic" w:hAnsi="Century Gothic"/>
          <w:color w:val="000000" w:themeColor="text1"/>
        </w:rPr>
      </w:pPr>
    </w:p>
    <w:p w14:paraId="5D4D6230" w14:textId="77777777" w:rsidR="00A15EAC" w:rsidRPr="00DA481A" w:rsidRDefault="00A15EAC" w:rsidP="00A15EAC">
      <w:pPr>
        <w:pStyle w:val="1bodycopy10pt"/>
        <w:rPr>
          <w:rFonts w:ascii="Century Gothic" w:hAnsi="Century Gothic"/>
          <w:color w:val="000000" w:themeColor="text1"/>
        </w:rPr>
      </w:pPr>
    </w:p>
    <w:p w14:paraId="7CBCC2A5" w14:textId="77777777" w:rsidR="00A15EAC" w:rsidRPr="00DA481A" w:rsidRDefault="00A15EAC" w:rsidP="00A15EAC">
      <w:pPr>
        <w:pStyle w:val="1bodycopy10pt"/>
        <w:rPr>
          <w:rFonts w:ascii="Century Gothic" w:hAnsi="Century Gothic"/>
          <w:color w:val="000000" w:themeColor="text1"/>
        </w:rPr>
      </w:pPr>
    </w:p>
    <w:p w14:paraId="708433C4" w14:textId="77777777" w:rsidR="00A15EAC" w:rsidRPr="00DA481A" w:rsidRDefault="00A15EAC" w:rsidP="00A15EAC">
      <w:pPr>
        <w:pStyle w:val="1bodycopy10pt"/>
        <w:rPr>
          <w:rFonts w:ascii="Century Gothic" w:hAnsi="Century Gothic"/>
          <w:color w:val="000000" w:themeColor="text1"/>
        </w:rPr>
      </w:pPr>
    </w:p>
    <w:p w14:paraId="1AC2E1EA" w14:textId="77777777" w:rsidR="00A15EAC" w:rsidRPr="00DA481A" w:rsidRDefault="00A15EAC" w:rsidP="00A15EAC">
      <w:pPr>
        <w:pStyle w:val="1bodycopy10pt"/>
        <w:rPr>
          <w:rFonts w:ascii="Century Gothic" w:hAnsi="Century Gothic"/>
          <w:color w:val="000000" w:themeColor="text1"/>
        </w:rPr>
      </w:pPr>
    </w:p>
    <w:p w14:paraId="41617D4A" w14:textId="77777777" w:rsidR="00A15EAC" w:rsidRPr="00DA481A" w:rsidRDefault="00A15EAC" w:rsidP="00A15EAC">
      <w:pPr>
        <w:pStyle w:val="1bodycopy10pt"/>
        <w:rPr>
          <w:rFonts w:ascii="Century Gothic" w:hAnsi="Century Gothic"/>
          <w:color w:val="000000" w:themeColor="text1"/>
        </w:rPr>
      </w:pPr>
    </w:p>
    <w:p w14:paraId="54104AF6" w14:textId="77777777" w:rsidR="00A15EAC" w:rsidRPr="00DA481A" w:rsidRDefault="00A15EAC" w:rsidP="00A15EAC">
      <w:pPr>
        <w:pStyle w:val="1bodycopy10pt"/>
        <w:rPr>
          <w:rFonts w:ascii="Century Gothic" w:hAnsi="Century Gothic"/>
          <w:color w:val="000000" w:themeColor="text1"/>
        </w:rPr>
      </w:pPr>
    </w:p>
    <w:p w14:paraId="1018995C" w14:textId="77777777" w:rsidR="00A15EAC" w:rsidRPr="00DA481A" w:rsidRDefault="00A15EAC" w:rsidP="00A15EAC">
      <w:pPr>
        <w:pStyle w:val="1bodycopy10pt"/>
        <w:rPr>
          <w:rFonts w:ascii="Century Gothic" w:hAnsi="Century Gothic"/>
          <w:color w:val="000000" w:themeColor="text1"/>
        </w:rPr>
      </w:pPr>
    </w:p>
    <w:p w14:paraId="1AC017AB" w14:textId="77777777" w:rsidR="00A15EAC" w:rsidRPr="00DA481A" w:rsidRDefault="00A15EAC" w:rsidP="00A15EAC">
      <w:pPr>
        <w:pStyle w:val="1bodycopy10pt"/>
        <w:rPr>
          <w:rFonts w:ascii="Century Gothic" w:hAnsi="Century Gothic"/>
          <w:color w:val="000000" w:themeColor="text1"/>
        </w:rPr>
      </w:pPr>
    </w:p>
    <w:p w14:paraId="5658CC44" w14:textId="77777777" w:rsidR="00A15EAC" w:rsidRPr="00DA481A" w:rsidRDefault="00A15EAC" w:rsidP="00A15EAC">
      <w:pPr>
        <w:pStyle w:val="1bodycopy10pt"/>
        <w:rPr>
          <w:rFonts w:ascii="Century Gothic" w:hAnsi="Century Gothic"/>
          <w:color w:val="000000" w:themeColor="text1"/>
        </w:rPr>
      </w:pPr>
    </w:p>
    <w:p w14:paraId="27A1420B" w14:textId="77777777" w:rsidR="00A15EAC" w:rsidRPr="00DA481A" w:rsidRDefault="00A15EAC" w:rsidP="00A15EAC">
      <w:pPr>
        <w:pStyle w:val="1bodycopy10pt"/>
        <w:rPr>
          <w:rFonts w:ascii="Century Gothic" w:hAnsi="Century Gothic"/>
          <w:color w:val="000000" w:themeColor="text1"/>
        </w:rPr>
      </w:pPr>
    </w:p>
    <w:p w14:paraId="706F64B4" w14:textId="77777777" w:rsidR="00A15EAC" w:rsidRPr="00DA481A" w:rsidRDefault="00A15EAC" w:rsidP="00A15EAC">
      <w:pPr>
        <w:pStyle w:val="1bodycopy10pt"/>
        <w:rPr>
          <w:rFonts w:ascii="Century Gothic" w:hAnsi="Century Gothic"/>
          <w:color w:val="000000" w:themeColor="text1"/>
        </w:rPr>
      </w:pPr>
    </w:p>
    <w:p w14:paraId="7C773CE1" w14:textId="77777777" w:rsidR="00A15EAC" w:rsidRPr="00DA481A" w:rsidRDefault="00A15EAC" w:rsidP="00A15EAC">
      <w:pPr>
        <w:pStyle w:val="1bodycopy10pt"/>
        <w:rPr>
          <w:rFonts w:ascii="Century Gothic" w:hAnsi="Century Gothic"/>
          <w:color w:val="000000" w:themeColor="text1"/>
        </w:rPr>
      </w:pPr>
    </w:p>
    <w:p w14:paraId="05678EBC" w14:textId="77777777" w:rsidR="00A15EAC" w:rsidRPr="00DA481A" w:rsidRDefault="00A15EAC" w:rsidP="00A15EAC">
      <w:pPr>
        <w:pStyle w:val="1bodycopy10pt"/>
        <w:rPr>
          <w:rFonts w:ascii="Century Gothic" w:hAnsi="Century Gothic"/>
          <w:color w:val="000000" w:themeColor="text1"/>
        </w:rPr>
      </w:pPr>
    </w:p>
    <w:p w14:paraId="70DB73AC" w14:textId="77777777" w:rsidR="00A15EAC" w:rsidRPr="00DA481A" w:rsidRDefault="00A15EAC" w:rsidP="00A15EAC">
      <w:pPr>
        <w:pStyle w:val="1bodycopy10pt"/>
        <w:rPr>
          <w:rFonts w:ascii="Century Gothic" w:hAnsi="Century Gothic"/>
          <w:color w:val="000000" w:themeColor="text1"/>
        </w:rPr>
      </w:pPr>
    </w:p>
    <w:p w14:paraId="2DF18239" w14:textId="77777777" w:rsidR="00A15EAC" w:rsidRPr="00DA481A" w:rsidRDefault="00A15EAC" w:rsidP="00A15EAC">
      <w:pPr>
        <w:pStyle w:val="1bodycopy10pt"/>
        <w:rPr>
          <w:rFonts w:ascii="Century Gothic" w:hAnsi="Century Gothic"/>
          <w:color w:val="000000" w:themeColor="text1"/>
        </w:rPr>
      </w:pPr>
    </w:p>
    <w:p w14:paraId="251D9E8C" w14:textId="77777777" w:rsidR="00A15EAC" w:rsidRPr="00DA481A" w:rsidRDefault="00A15EAC" w:rsidP="00A15EAC">
      <w:pPr>
        <w:pStyle w:val="1bodycopy10pt"/>
        <w:rPr>
          <w:rFonts w:ascii="Century Gothic" w:hAnsi="Century Gothic"/>
          <w:color w:val="000000" w:themeColor="text1"/>
        </w:rPr>
      </w:pPr>
    </w:p>
    <w:p w14:paraId="7C583287" w14:textId="77777777" w:rsidR="00A15EAC" w:rsidRPr="00DA481A" w:rsidRDefault="00A15EAC" w:rsidP="00A15EAC">
      <w:pPr>
        <w:rPr>
          <w:rFonts w:ascii="Century Gothic" w:hAnsi="Century Gothic"/>
          <w:b/>
          <w:color w:val="000000" w:themeColor="text1"/>
        </w:rPr>
      </w:pPr>
    </w:p>
    <w:p w14:paraId="3CE6551E" w14:textId="77777777" w:rsidR="00A15EAC" w:rsidRPr="00DA481A" w:rsidRDefault="00A15EAC" w:rsidP="00A15EAC">
      <w:pPr>
        <w:rPr>
          <w:rFonts w:ascii="Century Gothic" w:hAnsi="Century Gothic"/>
          <w:color w:val="000000" w:themeColor="text1"/>
        </w:rPr>
      </w:pPr>
    </w:p>
    <w:p w14:paraId="6B5C238E" w14:textId="77777777" w:rsidR="00A15EAC" w:rsidRPr="00DA481A" w:rsidRDefault="00A15EAC" w:rsidP="00A15EAC">
      <w:pPr>
        <w:rPr>
          <w:rFonts w:ascii="Century Gothic" w:hAnsi="Century Gothic" w:cs="Arial"/>
          <w:b/>
          <w:color w:val="000000" w:themeColor="text1"/>
          <w:sz w:val="28"/>
          <w:szCs w:val="28"/>
        </w:rPr>
      </w:pPr>
      <w:r w:rsidRPr="00DA481A">
        <w:rPr>
          <w:rFonts w:ascii="Century Gothic" w:hAnsi="Century Gothic"/>
          <w:color w:val="000000" w:themeColor="text1"/>
        </w:rPr>
        <w:br w:type="page"/>
      </w:r>
      <w:r w:rsidRPr="00DA481A">
        <w:rPr>
          <w:rFonts w:ascii="Century Gothic" w:hAnsi="Century Gothic" w:cs="Arial"/>
          <w:b/>
          <w:color w:val="000000" w:themeColor="text1"/>
          <w:sz w:val="28"/>
          <w:szCs w:val="28"/>
        </w:rPr>
        <w:lastRenderedPageBreak/>
        <w:t>Contents</w:t>
      </w:r>
    </w:p>
    <w:p w14:paraId="48CCFF9D" w14:textId="77777777" w:rsidR="00C92657" w:rsidRPr="00DA481A" w:rsidRDefault="00A15EAC">
      <w:pPr>
        <w:pStyle w:val="TOC1"/>
        <w:tabs>
          <w:tab w:val="right" w:leader="dot" w:pos="9736"/>
        </w:tabs>
        <w:rPr>
          <w:rFonts w:ascii="Century Gothic" w:eastAsia="Times New Roman" w:hAnsi="Century Gothic"/>
          <w:noProof/>
          <w:color w:val="000000" w:themeColor="text1"/>
          <w:kern w:val="2"/>
          <w:sz w:val="22"/>
          <w:szCs w:val="22"/>
          <w:lang w:val="en-GB" w:eastAsia="en-GB"/>
        </w:rPr>
      </w:pPr>
      <w:r w:rsidRPr="00DA481A">
        <w:rPr>
          <w:rFonts w:ascii="Century Gothic" w:hAnsi="Century Gothic" w:cs="Arial"/>
          <w:b/>
          <w:color w:val="000000" w:themeColor="text1"/>
          <w:sz w:val="28"/>
          <w:szCs w:val="28"/>
        </w:rPr>
        <w:fldChar w:fldCharType="begin"/>
      </w:r>
      <w:r w:rsidRPr="00DA481A">
        <w:rPr>
          <w:rFonts w:ascii="Century Gothic" w:hAnsi="Century Gothic" w:cs="Arial"/>
          <w:b/>
          <w:color w:val="000000" w:themeColor="text1"/>
          <w:sz w:val="28"/>
          <w:szCs w:val="28"/>
        </w:rPr>
        <w:instrText xml:space="preserve"> TOC \o "1-3" \h \z \u </w:instrText>
      </w:r>
      <w:r w:rsidRPr="00DA481A">
        <w:rPr>
          <w:rFonts w:ascii="Century Gothic" w:hAnsi="Century Gothic" w:cs="Arial"/>
          <w:b/>
          <w:color w:val="000000" w:themeColor="text1"/>
          <w:sz w:val="28"/>
          <w:szCs w:val="28"/>
        </w:rPr>
        <w:fldChar w:fldCharType="separate"/>
      </w:r>
      <w:hyperlink w:anchor="_Toc141193492" w:history="1">
        <w:r w:rsidR="00C92657" w:rsidRPr="00DA481A">
          <w:rPr>
            <w:rStyle w:val="Hyperlink"/>
            <w:rFonts w:ascii="Century Gothic" w:eastAsia="Arial" w:hAnsi="Century Gothic"/>
            <w:noProof/>
            <w:color w:val="000000" w:themeColor="text1"/>
            <w:lang w:val="en-GB" w:eastAsia="en-GB"/>
          </w:rPr>
          <w:t>1. Aims</w:t>
        </w:r>
        <w:r w:rsidR="00C92657" w:rsidRPr="00DA481A">
          <w:rPr>
            <w:rFonts w:ascii="Century Gothic" w:hAnsi="Century Gothic"/>
            <w:noProof/>
            <w:webHidden/>
            <w:color w:val="000000" w:themeColor="text1"/>
          </w:rPr>
          <w:tab/>
        </w:r>
        <w:r w:rsidR="00C92657" w:rsidRPr="00DA481A">
          <w:rPr>
            <w:rFonts w:ascii="Century Gothic" w:hAnsi="Century Gothic"/>
            <w:noProof/>
            <w:webHidden/>
            <w:color w:val="000000" w:themeColor="text1"/>
          </w:rPr>
          <w:fldChar w:fldCharType="begin"/>
        </w:r>
        <w:r w:rsidR="00C92657" w:rsidRPr="00DA481A">
          <w:rPr>
            <w:rFonts w:ascii="Century Gothic" w:hAnsi="Century Gothic"/>
            <w:noProof/>
            <w:webHidden/>
            <w:color w:val="000000" w:themeColor="text1"/>
          </w:rPr>
          <w:instrText xml:space="preserve"> PAGEREF _Toc141193492 \h </w:instrText>
        </w:r>
        <w:r w:rsidR="00C92657" w:rsidRPr="00DA481A">
          <w:rPr>
            <w:rFonts w:ascii="Century Gothic" w:hAnsi="Century Gothic"/>
            <w:noProof/>
            <w:webHidden/>
            <w:color w:val="000000" w:themeColor="text1"/>
          </w:rPr>
        </w:r>
        <w:r w:rsidR="00C92657" w:rsidRPr="00DA481A">
          <w:rPr>
            <w:rFonts w:ascii="Century Gothic" w:hAnsi="Century Gothic"/>
            <w:noProof/>
            <w:webHidden/>
            <w:color w:val="000000" w:themeColor="text1"/>
          </w:rPr>
          <w:fldChar w:fldCharType="separate"/>
        </w:r>
        <w:r w:rsidR="00C92657" w:rsidRPr="00DA481A">
          <w:rPr>
            <w:rFonts w:ascii="Century Gothic" w:hAnsi="Century Gothic"/>
            <w:noProof/>
            <w:webHidden/>
            <w:color w:val="000000" w:themeColor="text1"/>
          </w:rPr>
          <w:t>3</w:t>
        </w:r>
        <w:r w:rsidR="00C92657" w:rsidRPr="00DA481A">
          <w:rPr>
            <w:rFonts w:ascii="Century Gothic" w:hAnsi="Century Gothic"/>
            <w:noProof/>
            <w:webHidden/>
            <w:color w:val="000000" w:themeColor="text1"/>
          </w:rPr>
          <w:fldChar w:fldCharType="end"/>
        </w:r>
      </w:hyperlink>
    </w:p>
    <w:p w14:paraId="7B76FBC7" w14:textId="77777777" w:rsidR="00C92657" w:rsidRPr="00DA481A" w:rsidRDefault="007D4E4C">
      <w:pPr>
        <w:pStyle w:val="TOC1"/>
        <w:tabs>
          <w:tab w:val="right" w:leader="dot" w:pos="9736"/>
        </w:tabs>
        <w:rPr>
          <w:rFonts w:ascii="Century Gothic" w:eastAsia="Times New Roman" w:hAnsi="Century Gothic"/>
          <w:noProof/>
          <w:color w:val="000000" w:themeColor="text1"/>
          <w:kern w:val="2"/>
          <w:sz w:val="22"/>
          <w:szCs w:val="22"/>
          <w:lang w:val="en-GB" w:eastAsia="en-GB"/>
        </w:rPr>
      </w:pPr>
      <w:hyperlink w:anchor="_Toc141193493" w:history="1">
        <w:r w:rsidR="00C92657" w:rsidRPr="00DA481A">
          <w:rPr>
            <w:rStyle w:val="Hyperlink"/>
            <w:rFonts w:ascii="Century Gothic" w:eastAsia="Arial" w:hAnsi="Century Gothic"/>
            <w:noProof/>
            <w:color w:val="000000" w:themeColor="text1"/>
            <w:lang w:val="en-GB" w:eastAsia="en-GB"/>
          </w:rPr>
          <w:t xml:space="preserve">2. </w:t>
        </w:r>
        <w:r w:rsidR="00C92657" w:rsidRPr="00DA481A">
          <w:rPr>
            <w:rStyle w:val="Hyperlink"/>
            <w:rFonts w:ascii="Century Gothic" w:eastAsia="Arial" w:hAnsi="Century Gothic"/>
            <w:noProof/>
            <w:color w:val="000000" w:themeColor="text1"/>
            <w:lang w:eastAsia="en-GB"/>
          </w:rPr>
          <w:t>Scope</w:t>
        </w:r>
        <w:r w:rsidR="00C92657" w:rsidRPr="00DA481A">
          <w:rPr>
            <w:rFonts w:ascii="Century Gothic" w:hAnsi="Century Gothic"/>
            <w:noProof/>
            <w:webHidden/>
            <w:color w:val="000000" w:themeColor="text1"/>
          </w:rPr>
          <w:tab/>
        </w:r>
        <w:r w:rsidR="00C92657" w:rsidRPr="00DA481A">
          <w:rPr>
            <w:rFonts w:ascii="Century Gothic" w:hAnsi="Century Gothic"/>
            <w:noProof/>
            <w:webHidden/>
            <w:color w:val="000000" w:themeColor="text1"/>
          </w:rPr>
          <w:fldChar w:fldCharType="begin"/>
        </w:r>
        <w:r w:rsidR="00C92657" w:rsidRPr="00DA481A">
          <w:rPr>
            <w:rFonts w:ascii="Century Gothic" w:hAnsi="Century Gothic"/>
            <w:noProof/>
            <w:webHidden/>
            <w:color w:val="000000" w:themeColor="text1"/>
          </w:rPr>
          <w:instrText xml:space="preserve"> PAGEREF _Toc141193493 \h </w:instrText>
        </w:r>
        <w:r w:rsidR="00C92657" w:rsidRPr="00DA481A">
          <w:rPr>
            <w:rFonts w:ascii="Century Gothic" w:hAnsi="Century Gothic"/>
            <w:noProof/>
            <w:webHidden/>
            <w:color w:val="000000" w:themeColor="text1"/>
          </w:rPr>
        </w:r>
        <w:r w:rsidR="00C92657" w:rsidRPr="00DA481A">
          <w:rPr>
            <w:rFonts w:ascii="Century Gothic" w:hAnsi="Century Gothic"/>
            <w:noProof/>
            <w:webHidden/>
            <w:color w:val="000000" w:themeColor="text1"/>
          </w:rPr>
          <w:fldChar w:fldCharType="separate"/>
        </w:r>
        <w:r w:rsidR="00C92657" w:rsidRPr="00DA481A">
          <w:rPr>
            <w:rFonts w:ascii="Century Gothic" w:hAnsi="Century Gothic"/>
            <w:noProof/>
            <w:webHidden/>
            <w:color w:val="000000" w:themeColor="text1"/>
          </w:rPr>
          <w:t>3</w:t>
        </w:r>
        <w:r w:rsidR="00C92657" w:rsidRPr="00DA481A">
          <w:rPr>
            <w:rFonts w:ascii="Century Gothic" w:hAnsi="Century Gothic"/>
            <w:noProof/>
            <w:webHidden/>
            <w:color w:val="000000" w:themeColor="text1"/>
          </w:rPr>
          <w:fldChar w:fldCharType="end"/>
        </w:r>
      </w:hyperlink>
    </w:p>
    <w:p w14:paraId="1EA60804" w14:textId="77777777" w:rsidR="00C92657" w:rsidRPr="00DA481A" w:rsidRDefault="007D4E4C">
      <w:pPr>
        <w:pStyle w:val="TOC1"/>
        <w:tabs>
          <w:tab w:val="right" w:leader="dot" w:pos="9736"/>
        </w:tabs>
        <w:rPr>
          <w:rFonts w:ascii="Century Gothic" w:eastAsia="Times New Roman" w:hAnsi="Century Gothic"/>
          <w:noProof/>
          <w:color w:val="000000" w:themeColor="text1"/>
          <w:kern w:val="2"/>
          <w:sz w:val="22"/>
          <w:szCs w:val="22"/>
          <w:lang w:val="en-GB" w:eastAsia="en-GB"/>
        </w:rPr>
      </w:pPr>
      <w:hyperlink w:anchor="_Toc141193494" w:history="1">
        <w:r w:rsidR="00C92657" w:rsidRPr="00DA481A">
          <w:rPr>
            <w:rStyle w:val="Hyperlink"/>
            <w:rFonts w:ascii="Century Gothic" w:eastAsia="Arial" w:hAnsi="Century Gothic"/>
            <w:noProof/>
            <w:color w:val="000000" w:themeColor="text1"/>
            <w:lang w:val="en-GB" w:eastAsia="en-GB"/>
          </w:rPr>
          <w:t>3. Legislation and statutory guidance</w:t>
        </w:r>
        <w:r w:rsidR="00C92657" w:rsidRPr="00DA481A">
          <w:rPr>
            <w:rFonts w:ascii="Century Gothic" w:hAnsi="Century Gothic"/>
            <w:noProof/>
            <w:webHidden/>
            <w:color w:val="000000" w:themeColor="text1"/>
          </w:rPr>
          <w:tab/>
        </w:r>
        <w:r w:rsidR="00C92657" w:rsidRPr="00DA481A">
          <w:rPr>
            <w:rFonts w:ascii="Century Gothic" w:hAnsi="Century Gothic"/>
            <w:noProof/>
            <w:webHidden/>
            <w:color w:val="000000" w:themeColor="text1"/>
          </w:rPr>
          <w:fldChar w:fldCharType="begin"/>
        </w:r>
        <w:r w:rsidR="00C92657" w:rsidRPr="00DA481A">
          <w:rPr>
            <w:rFonts w:ascii="Century Gothic" w:hAnsi="Century Gothic"/>
            <w:noProof/>
            <w:webHidden/>
            <w:color w:val="000000" w:themeColor="text1"/>
          </w:rPr>
          <w:instrText xml:space="preserve"> PAGEREF _Toc141193494 \h </w:instrText>
        </w:r>
        <w:r w:rsidR="00C92657" w:rsidRPr="00DA481A">
          <w:rPr>
            <w:rFonts w:ascii="Century Gothic" w:hAnsi="Century Gothic"/>
            <w:noProof/>
            <w:webHidden/>
            <w:color w:val="000000" w:themeColor="text1"/>
          </w:rPr>
        </w:r>
        <w:r w:rsidR="00C92657" w:rsidRPr="00DA481A">
          <w:rPr>
            <w:rFonts w:ascii="Century Gothic" w:hAnsi="Century Gothic"/>
            <w:noProof/>
            <w:webHidden/>
            <w:color w:val="000000" w:themeColor="text1"/>
          </w:rPr>
          <w:fldChar w:fldCharType="separate"/>
        </w:r>
        <w:r w:rsidR="00C92657" w:rsidRPr="00DA481A">
          <w:rPr>
            <w:rFonts w:ascii="Century Gothic" w:hAnsi="Century Gothic"/>
            <w:noProof/>
            <w:webHidden/>
            <w:color w:val="000000" w:themeColor="text1"/>
          </w:rPr>
          <w:t>3</w:t>
        </w:r>
        <w:r w:rsidR="00C92657" w:rsidRPr="00DA481A">
          <w:rPr>
            <w:rFonts w:ascii="Century Gothic" w:hAnsi="Century Gothic"/>
            <w:noProof/>
            <w:webHidden/>
            <w:color w:val="000000" w:themeColor="text1"/>
          </w:rPr>
          <w:fldChar w:fldCharType="end"/>
        </w:r>
      </w:hyperlink>
    </w:p>
    <w:p w14:paraId="628E4BB5" w14:textId="77777777" w:rsidR="00C92657" w:rsidRPr="00DA481A" w:rsidRDefault="007D4E4C">
      <w:pPr>
        <w:pStyle w:val="TOC1"/>
        <w:tabs>
          <w:tab w:val="right" w:leader="dot" w:pos="9736"/>
        </w:tabs>
        <w:rPr>
          <w:rFonts w:ascii="Century Gothic" w:eastAsia="Times New Roman" w:hAnsi="Century Gothic"/>
          <w:noProof/>
          <w:color w:val="000000" w:themeColor="text1"/>
          <w:kern w:val="2"/>
          <w:sz w:val="22"/>
          <w:szCs w:val="22"/>
          <w:lang w:val="en-GB" w:eastAsia="en-GB"/>
        </w:rPr>
      </w:pPr>
      <w:hyperlink w:anchor="_Toc141193495" w:history="1">
        <w:r w:rsidR="00C92657" w:rsidRPr="00DA481A">
          <w:rPr>
            <w:rStyle w:val="Hyperlink"/>
            <w:rFonts w:ascii="Century Gothic" w:eastAsia="Arial" w:hAnsi="Century Gothic"/>
            <w:noProof/>
            <w:color w:val="000000" w:themeColor="text1"/>
            <w:lang w:val="en-GB" w:eastAsia="en-GB"/>
          </w:rPr>
          <w:t>4. The ECT induction programme</w:t>
        </w:r>
        <w:r w:rsidR="00C92657" w:rsidRPr="00DA481A">
          <w:rPr>
            <w:rFonts w:ascii="Century Gothic" w:hAnsi="Century Gothic"/>
            <w:noProof/>
            <w:webHidden/>
            <w:color w:val="000000" w:themeColor="text1"/>
          </w:rPr>
          <w:tab/>
        </w:r>
        <w:r w:rsidR="00C92657" w:rsidRPr="00DA481A">
          <w:rPr>
            <w:rFonts w:ascii="Century Gothic" w:hAnsi="Century Gothic"/>
            <w:noProof/>
            <w:webHidden/>
            <w:color w:val="000000" w:themeColor="text1"/>
          </w:rPr>
          <w:fldChar w:fldCharType="begin"/>
        </w:r>
        <w:r w:rsidR="00C92657" w:rsidRPr="00DA481A">
          <w:rPr>
            <w:rFonts w:ascii="Century Gothic" w:hAnsi="Century Gothic"/>
            <w:noProof/>
            <w:webHidden/>
            <w:color w:val="000000" w:themeColor="text1"/>
          </w:rPr>
          <w:instrText xml:space="preserve"> PAGEREF _Toc141193495 \h </w:instrText>
        </w:r>
        <w:r w:rsidR="00C92657" w:rsidRPr="00DA481A">
          <w:rPr>
            <w:rFonts w:ascii="Century Gothic" w:hAnsi="Century Gothic"/>
            <w:noProof/>
            <w:webHidden/>
            <w:color w:val="000000" w:themeColor="text1"/>
          </w:rPr>
        </w:r>
        <w:r w:rsidR="00C92657" w:rsidRPr="00DA481A">
          <w:rPr>
            <w:rFonts w:ascii="Century Gothic" w:hAnsi="Century Gothic"/>
            <w:noProof/>
            <w:webHidden/>
            <w:color w:val="000000" w:themeColor="text1"/>
          </w:rPr>
          <w:fldChar w:fldCharType="separate"/>
        </w:r>
        <w:r w:rsidR="00C92657" w:rsidRPr="00DA481A">
          <w:rPr>
            <w:rFonts w:ascii="Century Gothic" w:hAnsi="Century Gothic"/>
            <w:noProof/>
            <w:webHidden/>
            <w:color w:val="000000" w:themeColor="text1"/>
          </w:rPr>
          <w:t>4</w:t>
        </w:r>
        <w:r w:rsidR="00C92657" w:rsidRPr="00DA481A">
          <w:rPr>
            <w:rFonts w:ascii="Century Gothic" w:hAnsi="Century Gothic"/>
            <w:noProof/>
            <w:webHidden/>
            <w:color w:val="000000" w:themeColor="text1"/>
          </w:rPr>
          <w:fldChar w:fldCharType="end"/>
        </w:r>
      </w:hyperlink>
    </w:p>
    <w:p w14:paraId="07FB38D2" w14:textId="77777777" w:rsidR="00C92657" w:rsidRPr="00DA481A" w:rsidRDefault="007D4E4C">
      <w:pPr>
        <w:pStyle w:val="TOC1"/>
        <w:tabs>
          <w:tab w:val="right" w:leader="dot" w:pos="9736"/>
        </w:tabs>
        <w:rPr>
          <w:rFonts w:ascii="Century Gothic" w:eastAsia="Times New Roman" w:hAnsi="Century Gothic"/>
          <w:noProof/>
          <w:color w:val="000000" w:themeColor="text1"/>
          <w:kern w:val="2"/>
          <w:sz w:val="22"/>
          <w:szCs w:val="22"/>
          <w:lang w:val="en-GB" w:eastAsia="en-GB"/>
        </w:rPr>
      </w:pPr>
      <w:hyperlink w:anchor="_Toc141193496" w:history="1">
        <w:r w:rsidR="00C92657" w:rsidRPr="00DA481A">
          <w:rPr>
            <w:rStyle w:val="Hyperlink"/>
            <w:rFonts w:ascii="Century Gothic" w:eastAsia="Arial" w:hAnsi="Century Gothic"/>
            <w:noProof/>
            <w:color w:val="000000" w:themeColor="text1"/>
            <w:lang w:val="en-GB" w:eastAsia="en-GB"/>
          </w:rPr>
          <w:t>5. Roles and responsibilities</w:t>
        </w:r>
        <w:r w:rsidR="00C92657" w:rsidRPr="00DA481A">
          <w:rPr>
            <w:rFonts w:ascii="Century Gothic" w:hAnsi="Century Gothic"/>
            <w:noProof/>
            <w:webHidden/>
            <w:color w:val="000000" w:themeColor="text1"/>
          </w:rPr>
          <w:tab/>
        </w:r>
        <w:r w:rsidR="00C92657" w:rsidRPr="00DA481A">
          <w:rPr>
            <w:rFonts w:ascii="Century Gothic" w:hAnsi="Century Gothic"/>
            <w:noProof/>
            <w:webHidden/>
            <w:color w:val="000000" w:themeColor="text1"/>
          </w:rPr>
          <w:fldChar w:fldCharType="begin"/>
        </w:r>
        <w:r w:rsidR="00C92657" w:rsidRPr="00DA481A">
          <w:rPr>
            <w:rFonts w:ascii="Century Gothic" w:hAnsi="Century Gothic"/>
            <w:noProof/>
            <w:webHidden/>
            <w:color w:val="000000" w:themeColor="text1"/>
          </w:rPr>
          <w:instrText xml:space="preserve"> PAGEREF _Toc141193496 \h </w:instrText>
        </w:r>
        <w:r w:rsidR="00C92657" w:rsidRPr="00DA481A">
          <w:rPr>
            <w:rFonts w:ascii="Century Gothic" w:hAnsi="Century Gothic"/>
            <w:noProof/>
            <w:webHidden/>
            <w:color w:val="000000" w:themeColor="text1"/>
          </w:rPr>
        </w:r>
        <w:r w:rsidR="00C92657" w:rsidRPr="00DA481A">
          <w:rPr>
            <w:rFonts w:ascii="Century Gothic" w:hAnsi="Century Gothic"/>
            <w:noProof/>
            <w:webHidden/>
            <w:color w:val="000000" w:themeColor="text1"/>
          </w:rPr>
          <w:fldChar w:fldCharType="separate"/>
        </w:r>
        <w:r w:rsidR="00C92657" w:rsidRPr="00DA481A">
          <w:rPr>
            <w:rFonts w:ascii="Century Gothic" w:hAnsi="Century Gothic"/>
            <w:noProof/>
            <w:webHidden/>
            <w:color w:val="000000" w:themeColor="text1"/>
          </w:rPr>
          <w:t>5</w:t>
        </w:r>
        <w:r w:rsidR="00C92657" w:rsidRPr="00DA481A">
          <w:rPr>
            <w:rFonts w:ascii="Century Gothic" w:hAnsi="Century Gothic"/>
            <w:noProof/>
            <w:webHidden/>
            <w:color w:val="000000" w:themeColor="text1"/>
          </w:rPr>
          <w:fldChar w:fldCharType="end"/>
        </w:r>
      </w:hyperlink>
    </w:p>
    <w:p w14:paraId="4BBF9081" w14:textId="77777777" w:rsidR="00C92657" w:rsidRPr="00DA481A" w:rsidRDefault="007D4E4C">
      <w:pPr>
        <w:pStyle w:val="TOC1"/>
        <w:tabs>
          <w:tab w:val="right" w:leader="dot" w:pos="9736"/>
        </w:tabs>
        <w:rPr>
          <w:rFonts w:ascii="Century Gothic" w:eastAsia="Times New Roman" w:hAnsi="Century Gothic"/>
          <w:noProof/>
          <w:color w:val="000000" w:themeColor="text1"/>
          <w:kern w:val="2"/>
          <w:sz w:val="22"/>
          <w:szCs w:val="22"/>
          <w:lang w:val="en-GB" w:eastAsia="en-GB"/>
        </w:rPr>
      </w:pPr>
      <w:hyperlink w:anchor="_Toc141193497" w:history="1">
        <w:r w:rsidR="00C92657" w:rsidRPr="00DA481A">
          <w:rPr>
            <w:rStyle w:val="Hyperlink"/>
            <w:rFonts w:ascii="Century Gothic" w:eastAsia="Arial" w:hAnsi="Century Gothic"/>
            <w:noProof/>
            <w:color w:val="000000" w:themeColor="text1"/>
            <w:lang w:val="en-GB" w:eastAsia="en-GB"/>
          </w:rPr>
          <w:t>6. Monitoring arrangements</w:t>
        </w:r>
        <w:r w:rsidR="00C92657" w:rsidRPr="00DA481A">
          <w:rPr>
            <w:rFonts w:ascii="Century Gothic" w:hAnsi="Century Gothic"/>
            <w:noProof/>
            <w:webHidden/>
            <w:color w:val="000000" w:themeColor="text1"/>
          </w:rPr>
          <w:tab/>
        </w:r>
        <w:r w:rsidR="00C92657" w:rsidRPr="00DA481A">
          <w:rPr>
            <w:rFonts w:ascii="Century Gothic" w:hAnsi="Century Gothic"/>
            <w:noProof/>
            <w:webHidden/>
            <w:color w:val="000000" w:themeColor="text1"/>
          </w:rPr>
          <w:fldChar w:fldCharType="begin"/>
        </w:r>
        <w:r w:rsidR="00C92657" w:rsidRPr="00DA481A">
          <w:rPr>
            <w:rFonts w:ascii="Century Gothic" w:hAnsi="Century Gothic"/>
            <w:noProof/>
            <w:webHidden/>
            <w:color w:val="000000" w:themeColor="text1"/>
          </w:rPr>
          <w:instrText xml:space="preserve"> PAGEREF _Toc141193497 \h </w:instrText>
        </w:r>
        <w:r w:rsidR="00C92657" w:rsidRPr="00DA481A">
          <w:rPr>
            <w:rFonts w:ascii="Century Gothic" w:hAnsi="Century Gothic"/>
            <w:noProof/>
            <w:webHidden/>
            <w:color w:val="000000" w:themeColor="text1"/>
          </w:rPr>
        </w:r>
        <w:r w:rsidR="00C92657" w:rsidRPr="00DA481A">
          <w:rPr>
            <w:rFonts w:ascii="Century Gothic" w:hAnsi="Century Gothic"/>
            <w:noProof/>
            <w:webHidden/>
            <w:color w:val="000000" w:themeColor="text1"/>
          </w:rPr>
          <w:fldChar w:fldCharType="separate"/>
        </w:r>
        <w:r w:rsidR="00C92657" w:rsidRPr="00DA481A">
          <w:rPr>
            <w:rFonts w:ascii="Century Gothic" w:hAnsi="Century Gothic"/>
            <w:noProof/>
            <w:webHidden/>
            <w:color w:val="000000" w:themeColor="text1"/>
          </w:rPr>
          <w:t>7</w:t>
        </w:r>
        <w:r w:rsidR="00C92657" w:rsidRPr="00DA481A">
          <w:rPr>
            <w:rFonts w:ascii="Century Gothic" w:hAnsi="Century Gothic"/>
            <w:noProof/>
            <w:webHidden/>
            <w:color w:val="000000" w:themeColor="text1"/>
          </w:rPr>
          <w:fldChar w:fldCharType="end"/>
        </w:r>
      </w:hyperlink>
    </w:p>
    <w:p w14:paraId="0F1771E5" w14:textId="77777777" w:rsidR="00C92657" w:rsidRPr="00DA481A" w:rsidRDefault="007D4E4C">
      <w:pPr>
        <w:pStyle w:val="TOC1"/>
        <w:tabs>
          <w:tab w:val="right" w:leader="dot" w:pos="9736"/>
        </w:tabs>
        <w:rPr>
          <w:rFonts w:ascii="Century Gothic" w:eastAsia="Times New Roman" w:hAnsi="Century Gothic"/>
          <w:noProof/>
          <w:color w:val="000000" w:themeColor="text1"/>
          <w:kern w:val="2"/>
          <w:sz w:val="22"/>
          <w:szCs w:val="22"/>
          <w:lang w:val="en-GB" w:eastAsia="en-GB"/>
        </w:rPr>
      </w:pPr>
      <w:hyperlink w:anchor="_Toc141193498" w:history="1">
        <w:r w:rsidR="00C92657" w:rsidRPr="00DA481A">
          <w:rPr>
            <w:rStyle w:val="Hyperlink"/>
            <w:rFonts w:ascii="Century Gothic" w:eastAsia="Arial" w:hAnsi="Century Gothic"/>
            <w:noProof/>
            <w:color w:val="000000" w:themeColor="text1"/>
            <w:lang w:val="en-GB" w:eastAsia="en-GB"/>
          </w:rPr>
          <w:t>7. Links with other policies</w:t>
        </w:r>
        <w:r w:rsidR="00C92657" w:rsidRPr="00DA481A">
          <w:rPr>
            <w:rFonts w:ascii="Century Gothic" w:hAnsi="Century Gothic"/>
            <w:noProof/>
            <w:webHidden/>
            <w:color w:val="000000" w:themeColor="text1"/>
          </w:rPr>
          <w:tab/>
        </w:r>
        <w:r w:rsidR="002C5498" w:rsidRPr="00DA481A">
          <w:rPr>
            <w:rFonts w:ascii="Century Gothic" w:hAnsi="Century Gothic"/>
            <w:noProof/>
            <w:webHidden/>
            <w:color w:val="000000" w:themeColor="text1"/>
          </w:rPr>
          <w:t>7</w:t>
        </w:r>
      </w:hyperlink>
    </w:p>
    <w:p w14:paraId="1179072E" w14:textId="77777777" w:rsidR="00A15EAC" w:rsidRPr="00DA481A" w:rsidRDefault="00A15EAC" w:rsidP="00A15EAC">
      <w:pPr>
        <w:rPr>
          <w:rFonts w:ascii="Century Gothic" w:hAnsi="Century Gothic" w:cs="Arial"/>
          <w:b/>
          <w:color w:val="000000" w:themeColor="text1"/>
          <w:sz w:val="28"/>
          <w:szCs w:val="28"/>
        </w:rPr>
      </w:pPr>
      <w:r w:rsidRPr="00DA481A">
        <w:rPr>
          <w:rFonts w:ascii="Century Gothic" w:hAnsi="Century Gothic" w:cs="Arial"/>
          <w:b/>
          <w:color w:val="000000" w:themeColor="text1"/>
          <w:sz w:val="28"/>
          <w:szCs w:val="28"/>
        </w:rPr>
        <w:fldChar w:fldCharType="end"/>
      </w:r>
    </w:p>
    <w:p w14:paraId="6B1530E5" w14:textId="3A5932BA" w:rsidR="00A15EAC" w:rsidRPr="00DA481A" w:rsidRDefault="00732EE0" w:rsidP="00A15EAC">
      <w:pPr>
        <w:pStyle w:val="1bodycopy10pt"/>
        <w:rPr>
          <w:rFonts w:ascii="Century Gothic" w:hAnsi="Century Gothic" w:cs="Arial"/>
          <w:noProof/>
          <w:color w:val="000000" w:themeColor="text1"/>
          <w:szCs w:val="20"/>
        </w:rPr>
      </w:pPr>
      <w:r w:rsidRPr="00DA481A">
        <w:rPr>
          <w:rFonts w:ascii="Century Gothic" w:hAnsi="Century Gothic"/>
          <w:noProof/>
          <w:color w:val="000000" w:themeColor="text1"/>
        </w:rPr>
        <mc:AlternateContent>
          <mc:Choice Requires="wps">
            <w:drawing>
              <wp:anchor distT="4294967293" distB="4294967293" distL="114300" distR="114300" simplePos="0" relativeHeight="3" behindDoc="0" locked="0" layoutInCell="1" allowOverlap="1" wp14:anchorId="13A05DA9" wp14:editId="7EE53618">
                <wp:simplePos x="0" y="0"/>
                <wp:positionH relativeFrom="column">
                  <wp:posOffset>0</wp:posOffset>
                </wp:positionH>
                <wp:positionV relativeFrom="paragraph">
                  <wp:posOffset>-1</wp:posOffset>
                </wp:positionV>
                <wp:extent cx="6158865" cy="0"/>
                <wp:effectExtent l="0" t="0" r="0" b="0"/>
                <wp:wrapNone/>
                <wp:docPr id="126808734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0ABCE12" id="Straight Connector 1"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701C272" w14:textId="77777777" w:rsidR="00A15EAC" w:rsidRPr="00DA481A" w:rsidRDefault="00A15EAC" w:rsidP="00A15EAC">
      <w:pPr>
        <w:pStyle w:val="Heading1"/>
        <w:rPr>
          <w:rFonts w:ascii="Century Gothic" w:hAnsi="Century Gothic"/>
          <w:color w:val="000000" w:themeColor="text1"/>
          <w:szCs w:val="28"/>
          <w:lang w:eastAsia="en-GB"/>
        </w:rPr>
      </w:pPr>
      <w:bookmarkStart w:id="0" w:name="_Toc25836416"/>
      <w:bookmarkStart w:id="1" w:name="_Toc71203489"/>
      <w:bookmarkStart w:id="2" w:name="_Toc141193492"/>
      <w:r w:rsidRPr="00DA481A">
        <w:rPr>
          <w:rFonts w:ascii="Century Gothic" w:eastAsia="Arial" w:hAnsi="Century Gothic"/>
          <w:color w:val="000000" w:themeColor="text1"/>
          <w:szCs w:val="28"/>
          <w:lang w:eastAsia="en-GB"/>
        </w:rPr>
        <w:t>1. Aims</w:t>
      </w:r>
      <w:bookmarkEnd w:id="0"/>
      <w:bookmarkEnd w:id="1"/>
      <w:bookmarkEnd w:id="2"/>
    </w:p>
    <w:p w14:paraId="098D4FA2"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The school aims to:</w:t>
      </w:r>
    </w:p>
    <w:p w14:paraId="0D34A085" w14:textId="77777777" w:rsidR="00A15EAC" w:rsidRPr="00DA481A" w:rsidRDefault="00A15EAC" w:rsidP="00985E84">
      <w:pPr>
        <w:pStyle w:val="4Bulletedcopyblue"/>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Run an ECT induction programme that meets all of the statutory requirements underpinned by the </w:t>
      </w:r>
      <w:r w:rsidR="00784AAC" w:rsidRPr="00DA481A">
        <w:rPr>
          <w:rFonts w:ascii="Century Gothic" w:hAnsi="Century Gothic"/>
          <w:color w:val="000000" w:themeColor="text1"/>
          <w:lang w:val="en-GB" w:eastAsia="en-GB"/>
        </w:rPr>
        <w:t xml:space="preserve">Initial Teacher Training and Early Career Framework (ITTECF) </w:t>
      </w:r>
    </w:p>
    <w:p w14:paraId="36FEB74E" w14:textId="77777777" w:rsidR="00A15EAC" w:rsidRPr="00DA481A" w:rsidRDefault="00A15EAC" w:rsidP="00A15EAC">
      <w:pPr>
        <w:numPr>
          <w:ilvl w:val="0"/>
          <w:numId w:val="20"/>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Provide ECTs with a supportive environment that develops them and equips them with the tools to be effective and successful teachers</w:t>
      </w:r>
    </w:p>
    <w:p w14:paraId="64CAEC86" w14:textId="77777777" w:rsidR="00A15EAC" w:rsidRPr="00DA481A" w:rsidRDefault="00A15EAC" w:rsidP="00A15EAC">
      <w:pPr>
        <w:numPr>
          <w:ilvl w:val="0"/>
          <w:numId w:val="20"/>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all staff understand their role in the ECT induction programme</w:t>
      </w:r>
    </w:p>
    <w:p w14:paraId="57E0AB91" w14:textId="77777777" w:rsidR="00A15EAC" w:rsidRPr="00DA481A" w:rsidRDefault="00A15EAC" w:rsidP="00A15EAC">
      <w:pPr>
        <w:rPr>
          <w:rFonts w:ascii="Century Gothic" w:hAnsi="Century Gothic"/>
          <w:color w:val="000000" w:themeColor="text1"/>
          <w:lang w:val="en-GB" w:eastAsia="en-GB"/>
        </w:rPr>
      </w:pPr>
    </w:p>
    <w:p w14:paraId="6122C02D" w14:textId="77777777" w:rsidR="00A15EAC" w:rsidRPr="00DA481A" w:rsidRDefault="00A15EAC" w:rsidP="00A15EAC">
      <w:pPr>
        <w:pStyle w:val="Heading1"/>
        <w:rPr>
          <w:rFonts w:ascii="Century Gothic" w:hAnsi="Century Gothic"/>
          <w:color w:val="000000" w:themeColor="text1"/>
          <w:szCs w:val="28"/>
          <w:lang w:val="en-US" w:eastAsia="en-GB"/>
        </w:rPr>
      </w:pPr>
      <w:bookmarkStart w:id="3" w:name="_Toc71203490"/>
      <w:bookmarkStart w:id="4" w:name="_Toc141193493"/>
      <w:r w:rsidRPr="00DA481A">
        <w:rPr>
          <w:rFonts w:ascii="Century Gothic" w:eastAsia="Arial" w:hAnsi="Century Gothic"/>
          <w:color w:val="000000" w:themeColor="text1"/>
          <w:szCs w:val="28"/>
          <w:lang w:eastAsia="en-GB"/>
        </w:rPr>
        <w:t xml:space="preserve">2. </w:t>
      </w:r>
      <w:bookmarkEnd w:id="3"/>
      <w:r w:rsidRPr="00DA481A">
        <w:rPr>
          <w:rFonts w:ascii="Century Gothic" w:eastAsia="Arial" w:hAnsi="Century Gothic"/>
          <w:color w:val="000000" w:themeColor="text1"/>
          <w:szCs w:val="28"/>
          <w:lang w:val="en-US" w:eastAsia="en-GB"/>
        </w:rPr>
        <w:t>Scope</w:t>
      </w:r>
      <w:bookmarkEnd w:id="4"/>
    </w:p>
    <w:p w14:paraId="0D336AC6" w14:textId="77777777" w:rsidR="00A15EAC" w:rsidRPr="00DA481A" w:rsidRDefault="00A15EAC" w:rsidP="00141C5B">
      <w:pPr>
        <w:rPr>
          <w:rFonts w:ascii="Century Gothic" w:hAnsi="Century Gothic"/>
          <w:color w:val="000000" w:themeColor="text1"/>
          <w:lang w:eastAsia="en-GB"/>
        </w:rPr>
      </w:pPr>
      <w:r w:rsidRPr="00DA481A">
        <w:rPr>
          <w:rFonts w:ascii="Century Gothic" w:hAnsi="Century Gothic"/>
          <w:color w:val="000000" w:themeColor="text1"/>
          <w:lang w:val="en-GB" w:eastAsia="en-GB"/>
        </w:rPr>
        <w:t xml:space="preserve">This policy applies </w:t>
      </w:r>
      <w:r w:rsidRPr="00DA481A">
        <w:rPr>
          <w:rFonts w:ascii="Century Gothic" w:hAnsi="Century Gothic"/>
          <w:color w:val="000000" w:themeColor="text1"/>
          <w:lang w:eastAsia="en-GB"/>
        </w:rPr>
        <w:t>all</w:t>
      </w:r>
      <w:r w:rsidRPr="00DA481A">
        <w:rPr>
          <w:rFonts w:ascii="Century Gothic" w:hAnsi="Century Gothic"/>
          <w:color w:val="000000" w:themeColor="text1"/>
          <w:lang w:val="en-GB" w:eastAsia="en-GB"/>
        </w:rPr>
        <w:t xml:space="preserve"> ECTs who</w:t>
      </w:r>
      <w:r w:rsidRPr="00DA481A">
        <w:rPr>
          <w:rFonts w:ascii="Century Gothic" w:hAnsi="Century Gothic"/>
          <w:color w:val="000000" w:themeColor="text1"/>
          <w:lang w:eastAsia="en-GB"/>
        </w:rPr>
        <w:t xml:space="preserve"> have started</w:t>
      </w:r>
      <w:r w:rsidR="00AD069E" w:rsidRPr="00DA481A">
        <w:rPr>
          <w:rFonts w:ascii="Century Gothic" w:hAnsi="Century Gothic"/>
          <w:color w:val="000000" w:themeColor="text1"/>
          <w:lang w:eastAsia="en-GB"/>
        </w:rPr>
        <w:t>,</w:t>
      </w:r>
      <w:r w:rsidRPr="00DA481A">
        <w:rPr>
          <w:rFonts w:ascii="Century Gothic" w:hAnsi="Century Gothic"/>
          <w:color w:val="000000" w:themeColor="text1"/>
          <w:lang w:eastAsia="en-GB"/>
        </w:rPr>
        <w:t xml:space="preserve"> but not completed</w:t>
      </w:r>
      <w:r w:rsidR="00AD069E" w:rsidRPr="00DA481A">
        <w:rPr>
          <w:rFonts w:ascii="Century Gothic" w:hAnsi="Century Gothic"/>
          <w:color w:val="000000" w:themeColor="text1"/>
          <w:lang w:eastAsia="en-GB"/>
        </w:rPr>
        <w:t>,</w:t>
      </w:r>
      <w:r w:rsidRPr="00DA481A">
        <w:rPr>
          <w:rFonts w:ascii="Century Gothic" w:hAnsi="Century Gothic"/>
          <w:color w:val="000000" w:themeColor="text1"/>
          <w:lang w:eastAsia="en-GB"/>
        </w:rPr>
        <w:t xml:space="preserve"> their induction period.</w:t>
      </w:r>
    </w:p>
    <w:p w14:paraId="0893DB0A" w14:textId="77777777" w:rsidR="00141C5B" w:rsidRPr="00DA481A" w:rsidRDefault="00141C5B" w:rsidP="00141C5B">
      <w:pPr>
        <w:rPr>
          <w:rFonts w:ascii="Century Gothic" w:hAnsi="Century Gothic"/>
          <w:color w:val="000000" w:themeColor="text1"/>
          <w:lang w:eastAsia="en-GB"/>
        </w:rPr>
      </w:pPr>
    </w:p>
    <w:p w14:paraId="2B46CF73" w14:textId="77777777" w:rsidR="00A15EAC" w:rsidRPr="00DA481A" w:rsidRDefault="00A15EAC" w:rsidP="00A15EAC">
      <w:pPr>
        <w:pStyle w:val="Heading1"/>
        <w:rPr>
          <w:rFonts w:ascii="Century Gothic" w:hAnsi="Century Gothic"/>
          <w:color w:val="000000" w:themeColor="text1"/>
          <w:szCs w:val="28"/>
          <w:lang w:eastAsia="en-GB"/>
        </w:rPr>
      </w:pPr>
      <w:bookmarkStart w:id="5" w:name="_Toc25836417"/>
      <w:bookmarkStart w:id="6" w:name="_Toc71203491"/>
      <w:bookmarkStart w:id="7" w:name="_Toc141193494"/>
      <w:r w:rsidRPr="00DA481A">
        <w:rPr>
          <w:rFonts w:ascii="Century Gothic" w:eastAsia="Arial" w:hAnsi="Century Gothic"/>
          <w:color w:val="000000" w:themeColor="text1"/>
          <w:szCs w:val="28"/>
          <w:lang w:eastAsia="en-GB"/>
        </w:rPr>
        <w:t>3. Legislation and statutory guidance</w:t>
      </w:r>
      <w:bookmarkEnd w:id="5"/>
      <w:bookmarkEnd w:id="6"/>
      <w:bookmarkEnd w:id="7"/>
    </w:p>
    <w:p w14:paraId="569126D3"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This policy is based on: </w:t>
      </w:r>
    </w:p>
    <w:p w14:paraId="198B4166" w14:textId="77777777" w:rsidR="00A15EAC" w:rsidRPr="00DA481A" w:rsidRDefault="00A15EAC" w:rsidP="00A15EAC">
      <w:pPr>
        <w:numPr>
          <w:ilvl w:val="0"/>
          <w:numId w:val="22"/>
        </w:numPr>
        <w:pBdr>
          <w:left w:val="none" w:sz="0" w:space="8" w:color="auto"/>
        </w:pBdr>
        <w:ind w:hanging="424"/>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The Department for Education’s (DfE’s) statutory guidance </w:t>
      </w:r>
      <w:hyperlink r:id="rId8" w:history="1">
        <w:r w:rsidRPr="00DA481A">
          <w:rPr>
            <w:rFonts w:ascii="Century Gothic" w:hAnsi="Century Gothic"/>
            <w:color w:val="000000" w:themeColor="text1"/>
            <w:u w:val="single" w:color="0072CC"/>
            <w:lang w:val="en-GB" w:eastAsia="en-GB"/>
          </w:rPr>
          <w:t>Induction for early career teachers (England)</w:t>
        </w:r>
      </w:hyperlink>
    </w:p>
    <w:p w14:paraId="0E58AA3E" w14:textId="77777777" w:rsidR="00A15EAC" w:rsidRPr="00DA481A" w:rsidRDefault="00A15EAC" w:rsidP="00A15EAC">
      <w:pPr>
        <w:numPr>
          <w:ilvl w:val="0"/>
          <w:numId w:val="22"/>
        </w:numPr>
        <w:pBdr>
          <w:left w:val="none" w:sz="0" w:space="8" w:color="auto"/>
        </w:pBdr>
        <w:ind w:hanging="424"/>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The </w:t>
      </w:r>
      <w:hyperlink r:id="rId9" w:history="1">
        <w:r w:rsidR="00337881" w:rsidRPr="00DA481A">
          <w:rPr>
            <w:rStyle w:val="Hyperlink"/>
            <w:rFonts w:ascii="Century Gothic" w:hAnsi="Century Gothic"/>
            <w:color w:val="000000" w:themeColor="text1"/>
            <w:lang w:val="en-GB" w:eastAsia="en-GB"/>
          </w:rPr>
          <w:t>Initial Teacher Training and Early Career Framework (ITTECF)</w:t>
        </w:r>
      </w:hyperlink>
    </w:p>
    <w:p w14:paraId="7A87CB3C" w14:textId="77777777" w:rsidR="00A15EAC" w:rsidRPr="00DA481A" w:rsidRDefault="007D4E4C" w:rsidP="00A15EAC">
      <w:pPr>
        <w:numPr>
          <w:ilvl w:val="0"/>
          <w:numId w:val="22"/>
        </w:numPr>
        <w:pBdr>
          <w:left w:val="none" w:sz="0" w:space="8" w:color="auto"/>
        </w:pBdr>
        <w:ind w:hanging="424"/>
        <w:rPr>
          <w:rFonts w:ascii="Century Gothic" w:eastAsia="Times New Roman" w:hAnsi="Century Gothic"/>
          <w:color w:val="000000" w:themeColor="text1"/>
          <w:lang w:val="en-GB" w:eastAsia="en-GB"/>
        </w:rPr>
      </w:pPr>
      <w:hyperlink r:id="rId10" w:history="1">
        <w:r w:rsidR="00A15EAC" w:rsidRPr="00DA481A">
          <w:rPr>
            <w:rFonts w:ascii="Century Gothic" w:hAnsi="Century Gothic"/>
            <w:color w:val="000000" w:themeColor="text1"/>
            <w:u w:val="single" w:color="0072CC"/>
            <w:lang w:val="en-GB" w:eastAsia="en-GB"/>
          </w:rPr>
          <w:t>The Education (Induction Arrangements for School Teachers) (England) Regulations 2012</w:t>
        </w:r>
      </w:hyperlink>
    </w:p>
    <w:p w14:paraId="468CBE46"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The ‘relevant standards’ referred to below are the </w:t>
      </w:r>
      <w:hyperlink r:id="rId11" w:history="1">
        <w:r w:rsidRPr="00DA481A">
          <w:rPr>
            <w:rFonts w:ascii="Century Gothic" w:hAnsi="Century Gothic"/>
            <w:color w:val="000000" w:themeColor="text1"/>
            <w:u w:val="single" w:color="0072CC"/>
            <w:lang w:val="en-GB" w:eastAsia="en-GB"/>
          </w:rPr>
          <w:t>Teachers’ Standards</w:t>
        </w:r>
      </w:hyperlink>
      <w:r w:rsidRPr="00DA481A">
        <w:rPr>
          <w:rFonts w:ascii="Century Gothic" w:hAnsi="Century Gothic"/>
          <w:color w:val="000000" w:themeColor="text1"/>
          <w:lang w:val="en-GB" w:eastAsia="en-GB"/>
        </w:rPr>
        <w:t>.</w:t>
      </w:r>
    </w:p>
    <w:p w14:paraId="29A6400D" w14:textId="77777777" w:rsidR="00DC65EC" w:rsidRPr="00DA481A" w:rsidRDefault="00DC65EC" w:rsidP="00A15EAC">
      <w:pPr>
        <w:rPr>
          <w:rFonts w:ascii="Century Gothic" w:hAnsi="Century Gothic"/>
          <w:color w:val="000000" w:themeColor="text1"/>
          <w:lang w:val="en-GB" w:eastAsia="en-GB"/>
        </w:rPr>
      </w:pPr>
    </w:p>
    <w:p w14:paraId="69F3E90B" w14:textId="77777777" w:rsidR="00A15EAC" w:rsidRPr="00DA481A" w:rsidRDefault="00A15EAC" w:rsidP="00A15EAC">
      <w:pPr>
        <w:pStyle w:val="Heading1"/>
        <w:rPr>
          <w:rFonts w:ascii="Century Gothic" w:hAnsi="Century Gothic"/>
          <w:color w:val="000000" w:themeColor="text1"/>
          <w:szCs w:val="28"/>
          <w:lang w:eastAsia="en-GB"/>
        </w:rPr>
      </w:pPr>
      <w:bookmarkStart w:id="8" w:name="_Toc25836418"/>
      <w:bookmarkStart w:id="9" w:name="_Toc71203492"/>
      <w:bookmarkStart w:id="10" w:name="_Toc141193495"/>
      <w:r w:rsidRPr="00DA481A">
        <w:rPr>
          <w:rFonts w:ascii="Century Gothic" w:eastAsia="Arial" w:hAnsi="Century Gothic"/>
          <w:color w:val="000000" w:themeColor="text1"/>
          <w:szCs w:val="28"/>
          <w:lang w:eastAsia="en-GB"/>
        </w:rPr>
        <w:t>4. The ECT induction programme</w:t>
      </w:r>
      <w:bookmarkEnd w:id="8"/>
      <w:bookmarkEnd w:id="9"/>
      <w:bookmarkEnd w:id="10"/>
    </w:p>
    <w:p w14:paraId="34C8A9C3"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The induction programme will be underpinned by the </w:t>
      </w:r>
      <w:r w:rsidR="003E15B1" w:rsidRPr="00DA481A">
        <w:rPr>
          <w:rFonts w:ascii="Century Gothic" w:hAnsi="Century Gothic"/>
          <w:color w:val="000000" w:themeColor="text1"/>
          <w:lang w:val="en-GB" w:eastAsia="en-GB"/>
        </w:rPr>
        <w:t>ITTECF</w:t>
      </w:r>
      <w:r w:rsidRPr="00DA481A">
        <w:rPr>
          <w:rFonts w:ascii="Century Gothic" w:hAnsi="Century Gothic"/>
          <w:color w:val="000000" w:themeColor="text1"/>
          <w:lang w:val="en-GB" w:eastAsia="en-GB"/>
        </w:rPr>
        <w:t xml:space="preserve">, enabling ECTs to understand and apply the knowledge and skills set out in the </w:t>
      </w:r>
      <w:r w:rsidR="003E15B1" w:rsidRPr="00DA481A">
        <w:rPr>
          <w:rFonts w:ascii="Century Gothic" w:hAnsi="Century Gothic"/>
          <w:color w:val="000000" w:themeColor="text1"/>
          <w:lang w:val="en-GB" w:eastAsia="en-GB"/>
        </w:rPr>
        <w:t>ITTECF</w:t>
      </w:r>
      <w:r w:rsidRPr="00DA481A">
        <w:rPr>
          <w:rFonts w:ascii="Century Gothic" w:hAnsi="Century Gothic"/>
          <w:color w:val="000000" w:themeColor="text1"/>
          <w:lang w:val="en-GB" w:eastAsia="en-GB"/>
        </w:rPr>
        <w:t>.</w:t>
      </w:r>
    </w:p>
    <w:p w14:paraId="11257A4E" w14:textId="77777777" w:rsidR="00A15EAC" w:rsidRPr="00DA481A" w:rsidRDefault="00A15EAC" w:rsidP="00A15EAC">
      <w:pPr>
        <w:rPr>
          <w:rFonts w:ascii="Century Gothic" w:hAnsi="Century Gothic"/>
          <w:color w:val="000000" w:themeColor="text1"/>
          <w:lang w:eastAsia="en-GB"/>
        </w:rPr>
      </w:pPr>
      <w:r w:rsidRPr="00DA481A">
        <w:rPr>
          <w:rFonts w:ascii="Century Gothic" w:hAnsi="Century Gothic"/>
          <w:color w:val="000000" w:themeColor="text1"/>
          <w:lang w:eastAsia="en-GB"/>
        </w:rPr>
        <w:t xml:space="preserve">Prior to the ECT serving their induction, the headteacher and </w:t>
      </w:r>
      <w:r w:rsidR="00A216D0" w:rsidRPr="00DA481A">
        <w:rPr>
          <w:rFonts w:ascii="Century Gothic" w:hAnsi="Century Gothic"/>
          <w:color w:val="000000" w:themeColor="text1"/>
          <w:lang w:eastAsia="en-GB"/>
        </w:rPr>
        <w:t>‘</w:t>
      </w:r>
      <w:r w:rsidRPr="00DA481A">
        <w:rPr>
          <w:rFonts w:ascii="Century Gothic" w:hAnsi="Century Gothic"/>
          <w:color w:val="000000" w:themeColor="text1"/>
          <w:lang w:eastAsia="en-GB"/>
        </w:rPr>
        <w:t>appropriate body</w:t>
      </w:r>
      <w:r w:rsidR="00A216D0" w:rsidRPr="00DA481A">
        <w:rPr>
          <w:rFonts w:ascii="Century Gothic" w:hAnsi="Century Gothic"/>
          <w:color w:val="000000" w:themeColor="text1"/>
          <w:lang w:eastAsia="en-GB"/>
        </w:rPr>
        <w:t>’ (see below)</w:t>
      </w:r>
      <w:r w:rsidRPr="00DA481A">
        <w:rPr>
          <w:rFonts w:ascii="Century Gothic" w:hAnsi="Century Gothic"/>
          <w:color w:val="000000" w:themeColor="text1"/>
          <w:lang w:eastAsia="en-GB"/>
        </w:rPr>
        <w:t xml:space="preserve"> must agree that the post is suitable. </w:t>
      </w:r>
    </w:p>
    <w:p w14:paraId="65D1BB5B"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For a full-time ECT, the induction </w:t>
      </w:r>
      <w:r w:rsidRPr="00DA481A">
        <w:rPr>
          <w:rFonts w:ascii="Century Gothic" w:hAnsi="Century Gothic"/>
          <w:color w:val="000000" w:themeColor="text1"/>
          <w:lang w:eastAsia="en-GB"/>
        </w:rPr>
        <w:t>period</w:t>
      </w:r>
      <w:r w:rsidRPr="00DA481A">
        <w:rPr>
          <w:rFonts w:ascii="Century Gothic" w:hAnsi="Century Gothic"/>
          <w:color w:val="000000" w:themeColor="text1"/>
          <w:lang w:val="en-GB" w:eastAsia="en-GB"/>
        </w:rPr>
        <w:t xml:space="preserve"> will typically last for 2 academic years. Part-time ECTs will serve a full-time equivalent.</w:t>
      </w:r>
      <w:r w:rsidRPr="00DA481A">
        <w:rPr>
          <w:rFonts w:ascii="Century Gothic" w:hAnsi="Century Gothic"/>
          <w:color w:val="000000" w:themeColor="text1"/>
          <w:lang w:eastAsia="en-GB"/>
        </w:rPr>
        <w:t xml:space="preserve"> </w:t>
      </w:r>
      <w:r w:rsidR="00DC65EC" w:rsidRPr="00DA481A">
        <w:rPr>
          <w:rFonts w:ascii="Century Gothic" w:hAnsi="Century Gothic"/>
          <w:color w:val="000000" w:themeColor="text1"/>
        </w:rPr>
        <w:t>Only continuous employment of 1 term or more will count towards the induction period.</w:t>
      </w:r>
    </w:p>
    <w:p w14:paraId="3A0D74AA" w14:textId="4C18D8CF" w:rsidR="00A15EAC" w:rsidRPr="00DA481A" w:rsidRDefault="00DA481A"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lastRenderedPageBreak/>
        <w:t xml:space="preserve">The programme is quality assured by all the appropriate bodies that we work with (including London Borough of </w:t>
      </w:r>
      <w:proofErr w:type="spellStart"/>
      <w:r w:rsidRPr="00DA481A">
        <w:rPr>
          <w:rFonts w:ascii="Century Gothic" w:hAnsi="Century Gothic"/>
          <w:color w:val="000000" w:themeColor="text1"/>
          <w:lang w:val="en-GB" w:eastAsia="en-GB"/>
        </w:rPr>
        <w:t>Redbridge</w:t>
      </w:r>
      <w:proofErr w:type="spellEnd"/>
      <w:r w:rsidRPr="00DA481A">
        <w:rPr>
          <w:rFonts w:ascii="Century Gothic" w:hAnsi="Century Gothic"/>
          <w:color w:val="000000" w:themeColor="text1"/>
          <w:lang w:val="en-GB" w:eastAsia="en-GB"/>
        </w:rPr>
        <w:t xml:space="preserve"> and Harris</w:t>
      </w:r>
      <w:r w:rsidR="00A15EAC" w:rsidRPr="00DA481A">
        <w:rPr>
          <w:rFonts w:ascii="Century Gothic" w:hAnsi="Century Gothic"/>
          <w:color w:val="000000" w:themeColor="text1"/>
          <w:lang w:val="en-GB" w:eastAsia="en-GB"/>
        </w:rPr>
        <w:t xml:space="preserve"> our ‘appropriate body’.</w:t>
      </w:r>
    </w:p>
    <w:p w14:paraId="31417919"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4.1 Posts for induction</w:t>
      </w:r>
    </w:p>
    <w:p w14:paraId="37CF77AB"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Each ECT will:</w:t>
      </w:r>
    </w:p>
    <w:p w14:paraId="2D2EAED1"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Be provided with the necessary employment tasks, experience and support to enable them to demonstrate satisfactory performance against the relevant standards throughout, and by the end of, the induction period</w:t>
      </w:r>
    </w:p>
    <w:p w14:paraId="72F55DA4"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Have an appointed induction tutor, who will have qualified teacher status (QTS)</w:t>
      </w:r>
    </w:p>
    <w:p w14:paraId="4A1654FD"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Have an appointed induction mentor, who will have QTS</w:t>
      </w:r>
    </w:p>
    <w:p w14:paraId="55C743DA"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Have a reduced timetable to allow them to undertake activities in their induction programme; in their first year, this will be no more than 90% of the timetable of our existing teachers on the main pay range, and in their second year, this will be no more than 95% of the timetable of our existing teachers on the main pay range</w:t>
      </w:r>
    </w:p>
    <w:p w14:paraId="5882E925"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Regularly teach the same class or classes</w:t>
      </w:r>
    </w:p>
    <w:p w14:paraId="31372050"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Take part in similar planning, teaching and assessment processes to other teachers working in similar posts</w:t>
      </w:r>
    </w:p>
    <w:p w14:paraId="2ADF57CF"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Not be given additional non-teaching responsibilities without appropriate preparation and support</w:t>
      </w:r>
    </w:p>
    <w:p w14:paraId="55386342"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Not have unreasonable demands made </w:t>
      </w:r>
      <w:r w:rsidR="00A216D0" w:rsidRPr="00DA481A">
        <w:rPr>
          <w:rFonts w:ascii="Century Gothic" w:hAnsi="Century Gothic"/>
          <w:color w:val="000000" w:themeColor="text1"/>
          <w:lang w:val="en-GB" w:eastAsia="en-GB"/>
        </w:rPr>
        <w:t>of</w:t>
      </w:r>
      <w:r w:rsidRPr="00DA481A">
        <w:rPr>
          <w:rFonts w:ascii="Century Gothic" w:hAnsi="Century Gothic"/>
          <w:color w:val="000000" w:themeColor="text1"/>
          <w:lang w:val="en-GB" w:eastAsia="en-GB"/>
        </w:rPr>
        <w:t xml:space="preserve"> them</w:t>
      </w:r>
    </w:p>
    <w:p w14:paraId="6F44CA9E"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Not normally teach outside the age range and/or subjects they have been employed to teach</w:t>
      </w:r>
    </w:p>
    <w:p w14:paraId="3D1E01F7" w14:textId="77777777" w:rsidR="00A15EAC" w:rsidRPr="00DA481A" w:rsidRDefault="00A15EAC" w:rsidP="00A15EAC">
      <w:pPr>
        <w:numPr>
          <w:ilvl w:val="0"/>
          <w:numId w:val="23"/>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Not be presented with unreasonably demanding pupil discipline problems on a day-to-day basis</w:t>
      </w:r>
    </w:p>
    <w:p w14:paraId="433E303B"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4.2 Support for ECTs</w:t>
      </w:r>
    </w:p>
    <w:p w14:paraId="43CD168F"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We support ECTs with:</w:t>
      </w:r>
    </w:p>
    <w:p w14:paraId="2DE73E99" w14:textId="77777777" w:rsidR="00A15EAC" w:rsidRPr="00DA481A" w:rsidRDefault="00A15EAC" w:rsidP="00A15EAC">
      <w:pPr>
        <w:numPr>
          <w:ilvl w:val="0"/>
          <w:numId w:val="24"/>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Their designated induction tutor, who will provide day-to-day monitoring and support, and co-ordinate their assessments</w:t>
      </w:r>
    </w:p>
    <w:p w14:paraId="1B593479" w14:textId="77777777" w:rsidR="00A15EAC" w:rsidRPr="00DA481A" w:rsidRDefault="00A15EAC" w:rsidP="00A15EAC">
      <w:pPr>
        <w:numPr>
          <w:ilvl w:val="0"/>
          <w:numId w:val="24"/>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Their designated induction mentor, who will provide regular structured mentoring sessions and targeted feedback</w:t>
      </w:r>
    </w:p>
    <w:p w14:paraId="483EC4F9" w14:textId="77777777" w:rsidR="00A15EAC" w:rsidRPr="00DA481A" w:rsidRDefault="00A15EAC" w:rsidP="00A15EAC">
      <w:pPr>
        <w:numPr>
          <w:ilvl w:val="0"/>
          <w:numId w:val="24"/>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Observations of their teaching at regular intervals, and follow-up discussions with prompt and constructive feedback </w:t>
      </w:r>
    </w:p>
    <w:p w14:paraId="2B175515" w14:textId="77777777" w:rsidR="00A15EAC" w:rsidRPr="00DA481A" w:rsidRDefault="00A15EAC" w:rsidP="00A15EAC">
      <w:pPr>
        <w:numPr>
          <w:ilvl w:val="0"/>
          <w:numId w:val="24"/>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Regular professional reviews of their progress, to take place termly (except in terms where formal assessment is held), at which their induction tutor will review objectives and revise them in relation to the relevant standards and their current needs and strengths</w:t>
      </w:r>
    </w:p>
    <w:p w14:paraId="3927CB30" w14:textId="77777777" w:rsidR="00A15EAC" w:rsidRPr="00DA481A" w:rsidRDefault="00A15EAC" w:rsidP="00A15EAC">
      <w:pPr>
        <w:numPr>
          <w:ilvl w:val="0"/>
          <w:numId w:val="24"/>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Chances to observe experienced teachers, either within the school or at another school with effective practice</w:t>
      </w:r>
    </w:p>
    <w:p w14:paraId="46AAD1FE"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4.3 Assessments of ECT performance</w:t>
      </w:r>
    </w:p>
    <w:p w14:paraId="2246EA25" w14:textId="77777777" w:rsidR="005663BC" w:rsidRPr="00DA481A" w:rsidRDefault="005663B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ECTs are exempt from normal appraisal procedures during their induction period.</w:t>
      </w:r>
    </w:p>
    <w:p w14:paraId="1591645C" w14:textId="4DA2CC35"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Formal assessment meetings will take place in the final term of the ECT’s first year (term 3) and the final term of their second year (term 6), and will be carried out by</w:t>
      </w:r>
      <w:r w:rsidR="00DA481A">
        <w:rPr>
          <w:rFonts w:ascii="Century Gothic" w:hAnsi="Century Gothic"/>
          <w:color w:val="000000" w:themeColor="text1"/>
          <w:lang w:val="en-GB" w:eastAsia="en-GB"/>
        </w:rPr>
        <w:t xml:space="preserve"> senior ECT Lead Rose McDermott.</w:t>
      </w:r>
    </w:p>
    <w:p w14:paraId="05C3EBE0"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These meetings will be informed by clear and transparent evidence gathered from progress reviews during the preceding assessment period, and drawn from the ECT’s work as a teacher and from their </w:t>
      </w:r>
      <w:r w:rsidRPr="00DA481A">
        <w:rPr>
          <w:rFonts w:ascii="Century Gothic" w:hAnsi="Century Gothic"/>
          <w:color w:val="000000" w:themeColor="text1"/>
          <w:lang w:val="en-GB" w:eastAsia="en-GB"/>
        </w:rPr>
        <w:lastRenderedPageBreak/>
        <w:t xml:space="preserve">induction programme. Copies of the evidence relied on will be provided to the ECT and the appropriate body. </w:t>
      </w:r>
    </w:p>
    <w:p w14:paraId="483CAAAB"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After each formal assessment meeting, a formal assessment report will be completed that clearly shows how the ECT is performing against the relevant standards. The headteacher will also recommend to the appropriate body in the final assessment report at the end of the programme as to whether the ECT’s performance is satisfactory against the relevant standards.</w:t>
      </w:r>
    </w:p>
    <w:p w14:paraId="5A6C4819"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The ECT will add their own comments, and the formal assessment report will be signed by the headteacher, </w:t>
      </w:r>
      <w:r w:rsidR="009F3559" w:rsidRPr="00DA481A">
        <w:rPr>
          <w:rFonts w:ascii="Century Gothic" w:hAnsi="Century Gothic"/>
          <w:color w:val="000000" w:themeColor="text1"/>
          <w:lang w:val="en-GB" w:eastAsia="en-GB"/>
        </w:rPr>
        <w:t xml:space="preserve">the </w:t>
      </w:r>
      <w:r w:rsidRPr="00DA481A">
        <w:rPr>
          <w:rFonts w:ascii="Century Gothic" w:hAnsi="Century Gothic"/>
          <w:color w:val="000000" w:themeColor="text1"/>
          <w:lang w:val="en-GB" w:eastAsia="en-GB"/>
        </w:rPr>
        <w:t>induction tutor and the ECT.</w:t>
      </w:r>
    </w:p>
    <w:p w14:paraId="0716C918"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A copy of the formal assessment report will then be sent to the appropriate body. The final assessment report will be sent within 10 working days of the meeting, for the appropriate body to make the final decision on whether the ECT has passed their induction period.</w:t>
      </w:r>
    </w:p>
    <w:p w14:paraId="102D4150" w14:textId="77777777" w:rsidR="00A15EAC" w:rsidRPr="00DA481A" w:rsidRDefault="00A15EAC" w:rsidP="00A15EAC">
      <w:pPr>
        <w:spacing w:before="120"/>
        <w:rPr>
          <w:rFonts w:ascii="Century Gothic" w:hAnsi="Century Gothic"/>
          <w:color w:val="000000" w:themeColor="text1"/>
          <w:lang w:eastAsia="en-GB"/>
        </w:rPr>
      </w:pPr>
      <w:r w:rsidRPr="00DA481A">
        <w:rPr>
          <w:rFonts w:ascii="Century Gothic" w:hAnsi="Century Gothic"/>
          <w:color w:val="000000" w:themeColor="text1"/>
          <w:lang w:eastAsia="en-GB"/>
        </w:rPr>
        <w:t xml:space="preserve">In the event that the ECT leaves this post after completing </w:t>
      </w:r>
      <w:r w:rsidR="00817D31" w:rsidRPr="00DA481A">
        <w:rPr>
          <w:rFonts w:ascii="Century Gothic" w:hAnsi="Century Gothic"/>
          <w:color w:val="000000" w:themeColor="text1"/>
          <w:lang w:eastAsia="en-GB"/>
        </w:rPr>
        <w:t>1</w:t>
      </w:r>
      <w:r w:rsidRPr="00DA481A">
        <w:rPr>
          <w:rFonts w:ascii="Century Gothic" w:hAnsi="Century Gothic"/>
          <w:color w:val="000000" w:themeColor="text1"/>
          <w:lang w:eastAsia="en-GB"/>
        </w:rPr>
        <w:t xml:space="preserve"> term or more but before the next formal assessment would take place, the induction tutor or headteacher </w:t>
      </w:r>
      <w:r w:rsidR="009F3559" w:rsidRPr="00DA481A">
        <w:rPr>
          <w:rFonts w:ascii="Century Gothic" w:hAnsi="Century Gothic"/>
          <w:color w:val="000000" w:themeColor="text1"/>
          <w:lang w:eastAsia="en-GB"/>
        </w:rPr>
        <w:t>will</w:t>
      </w:r>
      <w:r w:rsidRPr="00DA481A">
        <w:rPr>
          <w:rFonts w:ascii="Century Gothic" w:hAnsi="Century Gothic"/>
          <w:color w:val="000000" w:themeColor="text1"/>
          <w:lang w:eastAsia="en-GB"/>
        </w:rPr>
        <w:t xml:space="preserve"> complete an interim assessment to </w:t>
      </w:r>
      <w:r w:rsidR="009F3559" w:rsidRPr="00DA481A">
        <w:rPr>
          <w:rFonts w:ascii="Century Gothic" w:hAnsi="Century Gothic"/>
          <w:color w:val="000000" w:themeColor="text1"/>
          <w:lang w:eastAsia="en-GB"/>
        </w:rPr>
        <w:t xml:space="preserve">make </w:t>
      </w:r>
      <w:r w:rsidRPr="00DA481A">
        <w:rPr>
          <w:rFonts w:ascii="Century Gothic" w:hAnsi="Century Gothic"/>
          <w:color w:val="000000" w:themeColor="text1"/>
          <w:lang w:eastAsia="en-GB"/>
        </w:rPr>
        <w:t>sure that the ECT’s progress and performance since the last assessment is captured.</w:t>
      </w:r>
    </w:p>
    <w:p w14:paraId="332F5841"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4.4 At-risk procedures</w:t>
      </w:r>
    </w:p>
    <w:p w14:paraId="3A598650"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If it becomes clear during a termly progress review or at the first formal assessment point that the ECT is not making sufficient progress, additional monitoring and support measures will be put in place immediately, meaning:</w:t>
      </w:r>
    </w:p>
    <w:p w14:paraId="17827698" w14:textId="77777777" w:rsidR="00A15EAC" w:rsidRPr="00DA481A" w:rsidRDefault="00A15EAC" w:rsidP="00A15EAC">
      <w:pPr>
        <w:numPr>
          <w:ilvl w:val="0"/>
          <w:numId w:val="25"/>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Areas in which improvement is needed are identified</w:t>
      </w:r>
    </w:p>
    <w:p w14:paraId="030C5C4C" w14:textId="77777777" w:rsidR="00A15EAC" w:rsidRPr="00DA481A" w:rsidRDefault="00A15EAC" w:rsidP="00A15EAC">
      <w:pPr>
        <w:numPr>
          <w:ilvl w:val="0"/>
          <w:numId w:val="25"/>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Appropriate objectives are set to guide the ECT towards satisfactory performance against the relevant standards</w:t>
      </w:r>
    </w:p>
    <w:p w14:paraId="0C3D7022" w14:textId="77777777" w:rsidR="00A15EAC" w:rsidRPr="00DA481A" w:rsidRDefault="00A15EAC" w:rsidP="00A15EAC">
      <w:pPr>
        <w:numPr>
          <w:ilvl w:val="0"/>
          <w:numId w:val="25"/>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An effective support programme is put in place to help the ECT improve their performance</w:t>
      </w:r>
    </w:p>
    <w:p w14:paraId="2C037563"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The progress review record or formal assessment report will be shared with the appropriate body, alongside the support plan, for it to review.</w:t>
      </w:r>
    </w:p>
    <w:p w14:paraId="1BBB27CE"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If there are concerns about the ECT’s progress during their subsequent progress reviews or formal assessment, as long as it is not the final formal assessment, the induction tutor or headteacher will</w:t>
      </w:r>
      <w:r w:rsidR="00313871" w:rsidRPr="00DA481A">
        <w:rPr>
          <w:rFonts w:ascii="Century Gothic" w:hAnsi="Century Gothic"/>
          <w:color w:val="000000" w:themeColor="text1"/>
          <w:lang w:val="en-GB" w:eastAsia="en-GB"/>
        </w:rPr>
        <w:t>:</w:t>
      </w:r>
    </w:p>
    <w:p w14:paraId="75F2D40D" w14:textId="77777777" w:rsidR="00313871" w:rsidRPr="00DA481A" w:rsidRDefault="00313871" w:rsidP="00313871">
      <w:pPr>
        <w:pStyle w:val="4Bulletedcopyblue"/>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Continue to deliver process reviews </w:t>
      </w:r>
    </w:p>
    <w:p w14:paraId="7FBDE07B" w14:textId="77777777" w:rsidR="00313871" w:rsidRPr="00DA481A" w:rsidRDefault="00313871" w:rsidP="00313871">
      <w:pPr>
        <w:pStyle w:val="4Bulletedcopyblue"/>
        <w:rPr>
          <w:rFonts w:ascii="Century Gothic" w:hAnsi="Century Gothic"/>
          <w:color w:val="000000" w:themeColor="text1"/>
          <w:lang w:val="en-GB" w:eastAsia="en-GB"/>
        </w:rPr>
      </w:pPr>
      <w:r w:rsidRPr="00DA481A">
        <w:rPr>
          <w:rFonts w:ascii="Century Gothic" w:hAnsi="Century Gothic"/>
          <w:color w:val="000000" w:themeColor="text1"/>
          <w:lang w:val="en-GB" w:eastAsia="en-GB"/>
        </w:rPr>
        <w:t>Revise the ECT’s objectives and support plan in line with the Teachers’ Standards</w:t>
      </w:r>
    </w:p>
    <w:p w14:paraId="3259CA8B" w14:textId="77777777" w:rsidR="00313871" w:rsidRPr="00DA481A" w:rsidRDefault="00313871" w:rsidP="00313871">
      <w:pPr>
        <w:pStyle w:val="4Bulletedcopyblue"/>
        <w:rPr>
          <w:rFonts w:ascii="Century Gothic" w:hAnsi="Century Gothic"/>
          <w:color w:val="000000" w:themeColor="text1"/>
          <w:lang w:val="en-GB" w:eastAsia="en-GB"/>
        </w:rPr>
      </w:pPr>
      <w:r w:rsidRPr="00DA481A">
        <w:rPr>
          <w:rFonts w:ascii="Century Gothic" w:hAnsi="Century Gothic"/>
          <w:color w:val="000000" w:themeColor="text1"/>
          <w:lang w:val="en-GB" w:eastAsia="en-GB"/>
        </w:rPr>
        <w:t>Share these with the ECT, headteacher and appropriate body</w:t>
      </w:r>
    </w:p>
    <w:p w14:paraId="39BBF3B7" w14:textId="77777777" w:rsidR="00313871" w:rsidRPr="00DA481A" w:rsidRDefault="00313871" w:rsidP="00313871">
      <w:pPr>
        <w:pStyle w:val="Subhead2"/>
        <w:rPr>
          <w:rFonts w:ascii="Century Gothic" w:hAnsi="Century Gothic"/>
          <w:color w:val="000000" w:themeColor="text1"/>
          <w:lang w:val="en-GB" w:eastAsia="en-GB"/>
        </w:rPr>
      </w:pPr>
      <w:r w:rsidRPr="00DA481A">
        <w:rPr>
          <w:rFonts w:ascii="Century Gothic" w:hAnsi="Century Gothic"/>
          <w:color w:val="000000" w:themeColor="text1"/>
          <w:lang w:val="en-GB" w:eastAsia="en-GB"/>
        </w:rPr>
        <w:t>4.5 Capability procedures</w:t>
      </w:r>
    </w:p>
    <w:p w14:paraId="7A817650" w14:textId="77777777" w:rsidR="00313871" w:rsidRPr="00DA481A" w:rsidRDefault="00313871" w:rsidP="00313871">
      <w:pPr>
        <w:pStyle w:val="1bodycopy10pt"/>
        <w:rPr>
          <w:rFonts w:ascii="Century Gothic" w:hAnsi="Century Gothic"/>
          <w:color w:val="000000" w:themeColor="text1"/>
          <w:lang w:val="en-GB" w:eastAsia="en-GB"/>
        </w:rPr>
      </w:pPr>
      <w:r w:rsidRPr="00DA481A">
        <w:rPr>
          <w:rFonts w:ascii="Century Gothic" w:hAnsi="Century Gothic"/>
          <w:color w:val="000000" w:themeColor="text1"/>
          <w:lang w:val="en-GB" w:eastAsia="en-GB"/>
        </w:rPr>
        <w:t>In the event of serious capability concerns, the headteacher can decide to instigate capability procedures in line with our capability policy. They will inform the appropriate body when these procedures are instigated.</w:t>
      </w:r>
    </w:p>
    <w:p w14:paraId="53A4DC2A" w14:textId="77777777" w:rsidR="00313871" w:rsidRPr="00DA481A" w:rsidRDefault="00313871" w:rsidP="00313871">
      <w:pPr>
        <w:pStyle w:val="1bodycopy10pt"/>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The ECT’s induction process will continue alongside these capability procedures for as long as the ECT remains at the school, or the procedures are concluded. </w:t>
      </w:r>
    </w:p>
    <w:p w14:paraId="769F0FE5" w14:textId="77777777" w:rsidR="00A15EAC" w:rsidRPr="00DA481A" w:rsidRDefault="00A15EAC" w:rsidP="00A15EAC">
      <w:pPr>
        <w:rPr>
          <w:rFonts w:ascii="Century Gothic" w:hAnsi="Century Gothic"/>
          <w:color w:val="000000" w:themeColor="text1"/>
          <w:lang w:val="en-GB" w:eastAsia="en-GB"/>
        </w:rPr>
      </w:pPr>
    </w:p>
    <w:p w14:paraId="4F31BFD3" w14:textId="77777777" w:rsidR="00A15EAC" w:rsidRPr="00DA481A" w:rsidRDefault="00A15EAC" w:rsidP="00A15EAC">
      <w:pPr>
        <w:pStyle w:val="Heading1"/>
        <w:rPr>
          <w:rFonts w:ascii="Century Gothic" w:hAnsi="Century Gothic"/>
          <w:color w:val="000000" w:themeColor="text1"/>
          <w:szCs w:val="28"/>
          <w:lang w:eastAsia="en-GB"/>
        </w:rPr>
      </w:pPr>
      <w:bookmarkStart w:id="11" w:name="_Toc25836419"/>
      <w:bookmarkStart w:id="12" w:name="_Toc71203493"/>
      <w:bookmarkStart w:id="13" w:name="_Toc141193496"/>
      <w:r w:rsidRPr="00DA481A">
        <w:rPr>
          <w:rFonts w:ascii="Century Gothic" w:eastAsia="Arial" w:hAnsi="Century Gothic"/>
          <w:color w:val="000000" w:themeColor="text1"/>
          <w:szCs w:val="28"/>
          <w:lang w:eastAsia="en-GB"/>
        </w:rPr>
        <w:t>5. Roles and responsibilities</w:t>
      </w:r>
      <w:bookmarkEnd w:id="11"/>
      <w:bookmarkEnd w:id="12"/>
      <w:bookmarkEnd w:id="13"/>
    </w:p>
    <w:p w14:paraId="7B7FD595"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5.1 Role of the ECT</w:t>
      </w:r>
    </w:p>
    <w:p w14:paraId="7231B0FC"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The ECT will:</w:t>
      </w:r>
    </w:p>
    <w:p w14:paraId="775F9720" w14:textId="7777777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Provide evidence that they have QTS and are eligible to start induction</w:t>
      </w:r>
    </w:p>
    <w:p w14:paraId="29358FE7" w14:textId="7777777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lastRenderedPageBreak/>
        <w:t>Meet with their induction tutor at the start of the programme to discuss and agree priorities, and keep these under review</w:t>
      </w:r>
    </w:p>
    <w:p w14:paraId="06DE4C57" w14:textId="2A8DCDF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Agree with their induction tutor how best to use their reduced timetable allowance and guarantee engagement with their </w:t>
      </w:r>
      <w:r w:rsidR="00043404" w:rsidRPr="00DA481A">
        <w:rPr>
          <w:rFonts w:ascii="Century Gothic" w:hAnsi="Century Gothic"/>
          <w:color w:val="000000" w:themeColor="text1"/>
          <w:lang w:val="en-GB" w:eastAsia="en-GB"/>
        </w:rPr>
        <w:t>e</w:t>
      </w:r>
      <w:r w:rsidR="00F04A0E" w:rsidRPr="00DA481A">
        <w:rPr>
          <w:rFonts w:ascii="Century Gothic" w:hAnsi="Century Gothic"/>
          <w:color w:val="000000" w:themeColor="text1"/>
          <w:lang w:val="en-GB" w:eastAsia="en-GB"/>
        </w:rPr>
        <w:t xml:space="preserve">arly </w:t>
      </w:r>
      <w:r w:rsidR="00043404" w:rsidRPr="00DA481A">
        <w:rPr>
          <w:rFonts w:ascii="Century Gothic" w:hAnsi="Century Gothic"/>
          <w:color w:val="000000" w:themeColor="text1"/>
          <w:lang w:val="en-GB" w:eastAsia="en-GB"/>
        </w:rPr>
        <w:t>c</w:t>
      </w:r>
      <w:r w:rsidR="00F04A0E" w:rsidRPr="00DA481A">
        <w:rPr>
          <w:rFonts w:ascii="Century Gothic" w:hAnsi="Century Gothic"/>
          <w:color w:val="000000" w:themeColor="text1"/>
          <w:lang w:val="en-GB" w:eastAsia="en-GB"/>
        </w:rPr>
        <w:t xml:space="preserve">areer </w:t>
      </w:r>
      <w:r w:rsidR="00043404" w:rsidRPr="00DA481A">
        <w:rPr>
          <w:rFonts w:ascii="Century Gothic" w:hAnsi="Century Gothic"/>
          <w:color w:val="000000" w:themeColor="text1"/>
          <w:lang w:val="en-GB" w:eastAsia="en-GB"/>
        </w:rPr>
        <w:t>t</w:t>
      </w:r>
      <w:r w:rsidR="00F04A0E" w:rsidRPr="00DA481A">
        <w:rPr>
          <w:rFonts w:ascii="Century Gothic" w:hAnsi="Century Gothic"/>
          <w:color w:val="000000" w:themeColor="text1"/>
          <w:lang w:val="en-GB" w:eastAsia="en-GB"/>
        </w:rPr>
        <w:t xml:space="preserve">eacher </w:t>
      </w:r>
      <w:r w:rsidR="00043404" w:rsidRPr="00DA481A">
        <w:rPr>
          <w:rFonts w:ascii="Century Gothic" w:hAnsi="Century Gothic"/>
          <w:color w:val="000000" w:themeColor="text1"/>
          <w:lang w:val="en-GB" w:eastAsia="en-GB"/>
        </w:rPr>
        <w:t>e</w:t>
      </w:r>
      <w:r w:rsidR="00F04A0E" w:rsidRPr="00DA481A">
        <w:rPr>
          <w:rFonts w:ascii="Century Gothic" w:hAnsi="Century Gothic"/>
          <w:color w:val="000000" w:themeColor="text1"/>
          <w:lang w:val="en-GB" w:eastAsia="en-GB"/>
        </w:rPr>
        <w:t>ntitlement</w:t>
      </w:r>
    </w:p>
    <w:p w14:paraId="19235AA8" w14:textId="7777777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Provide evidence of their progress against the relevant standards</w:t>
      </w:r>
    </w:p>
    <w:p w14:paraId="7C59A995" w14:textId="7777777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Participate fully in the monitoring and development programme</w:t>
      </w:r>
    </w:p>
    <w:p w14:paraId="16CBAF12" w14:textId="7777777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Participate in scheduled classroom observations, progress reviews and formal assessment meetings</w:t>
      </w:r>
    </w:p>
    <w:p w14:paraId="1F07F56C" w14:textId="7777777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Agree with their induction tutor the start and end dates of the induction period, and the dates of any absences from work during the period</w:t>
      </w:r>
    </w:p>
    <w:p w14:paraId="0F5EE656" w14:textId="77777777" w:rsidR="00A15EAC" w:rsidRPr="00DA481A" w:rsidRDefault="00A15EAC" w:rsidP="00A15EAC">
      <w:pPr>
        <w:numPr>
          <w:ilvl w:val="0"/>
          <w:numId w:val="26"/>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Keep copies of all assessment reports</w:t>
      </w:r>
    </w:p>
    <w:p w14:paraId="46B72A43"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b/>
          <w:bCs/>
          <w:color w:val="000000" w:themeColor="text1"/>
          <w:lang w:val="en-GB" w:eastAsia="en-GB"/>
        </w:rPr>
        <w:t>When the ECT has any</w:t>
      </w:r>
      <w:r w:rsidRPr="00DA481A">
        <w:rPr>
          <w:rFonts w:ascii="Century Gothic" w:hAnsi="Century Gothic"/>
          <w:color w:val="000000" w:themeColor="text1"/>
          <w:lang w:val="en-GB" w:eastAsia="en-GB"/>
        </w:rPr>
        <w:t xml:space="preserve"> </w:t>
      </w:r>
      <w:r w:rsidRPr="00DA481A">
        <w:rPr>
          <w:rFonts w:ascii="Century Gothic" w:hAnsi="Century Gothic"/>
          <w:b/>
          <w:bCs/>
          <w:color w:val="000000" w:themeColor="text1"/>
          <w:lang w:val="en-GB" w:eastAsia="en-GB"/>
        </w:rPr>
        <w:t>concerns</w:t>
      </w:r>
      <w:r w:rsidRPr="00DA481A">
        <w:rPr>
          <w:rFonts w:ascii="Century Gothic" w:hAnsi="Century Gothic"/>
          <w:color w:val="000000" w:themeColor="text1"/>
          <w:lang w:val="en-GB" w:eastAsia="en-GB"/>
        </w:rPr>
        <w:t xml:space="preserve">, they will: </w:t>
      </w:r>
    </w:p>
    <w:p w14:paraId="7BDD2EF1" w14:textId="77777777" w:rsidR="00A15EAC" w:rsidRPr="00DA481A" w:rsidRDefault="00A15EAC" w:rsidP="00A15EAC">
      <w:pPr>
        <w:numPr>
          <w:ilvl w:val="0"/>
          <w:numId w:val="27"/>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Raise these with their induction tutor as soon as they can</w:t>
      </w:r>
    </w:p>
    <w:p w14:paraId="6F5ED540" w14:textId="77777777" w:rsidR="00A15EAC" w:rsidRPr="00DA481A" w:rsidRDefault="00A15EAC" w:rsidP="00A15EAC">
      <w:pPr>
        <w:numPr>
          <w:ilvl w:val="0"/>
          <w:numId w:val="27"/>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Consult with their contact at the appropriate body at an early stage if there are difficulties in resolving issues with their induction tutor or within the school</w:t>
      </w:r>
    </w:p>
    <w:p w14:paraId="2427E247"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5.2 Role of the headteacher</w:t>
      </w:r>
    </w:p>
    <w:p w14:paraId="2920722B"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The headteacher will:</w:t>
      </w:r>
    </w:p>
    <w:p w14:paraId="5CC8B42F"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Check that the ECT has been awarded QTS and whether they need to serve an induction period</w:t>
      </w:r>
    </w:p>
    <w:p w14:paraId="1AB563BD"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Agree, in advance of the ECT starting, who will act as the appropriate body</w:t>
      </w:r>
    </w:p>
    <w:p w14:paraId="3BC01C62"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Notify the appropriate body when an ECT is taking up a post and undertaking induction</w:t>
      </w:r>
    </w:p>
    <w:p w14:paraId="540DA375"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the ECT’s post is suitable according to statutory guidance (see section 4.1 above)</w:t>
      </w:r>
    </w:p>
    <w:p w14:paraId="2A44A0C3"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the induction tutor is appropriately trained and has sufficient time to carry out their role effectively</w:t>
      </w:r>
    </w:p>
    <w:p w14:paraId="25D829D7"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the induction mentor is appropriately trained and has sufficient time to carry out their role effectively</w:t>
      </w:r>
    </w:p>
    <w:p w14:paraId="70C9DE24" w14:textId="069BCDFC"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Make sure an appropriate </w:t>
      </w:r>
      <w:r w:rsidR="00043404" w:rsidRPr="00DA481A">
        <w:rPr>
          <w:rFonts w:ascii="Century Gothic" w:hAnsi="Century Gothic"/>
          <w:color w:val="000000" w:themeColor="text1"/>
          <w:lang w:val="en-GB" w:eastAsia="en-GB"/>
        </w:rPr>
        <w:t>e</w:t>
      </w:r>
      <w:r w:rsidR="00E6774D" w:rsidRPr="00DA481A">
        <w:rPr>
          <w:rFonts w:ascii="Century Gothic" w:hAnsi="Century Gothic"/>
          <w:color w:val="000000" w:themeColor="text1"/>
          <w:lang w:val="en-GB" w:eastAsia="en-GB"/>
        </w:rPr>
        <w:t xml:space="preserve">arly </w:t>
      </w:r>
      <w:r w:rsidR="00043404" w:rsidRPr="00DA481A">
        <w:rPr>
          <w:rFonts w:ascii="Century Gothic" w:hAnsi="Century Gothic"/>
          <w:color w:val="000000" w:themeColor="text1"/>
          <w:lang w:val="en-GB" w:eastAsia="en-GB"/>
        </w:rPr>
        <w:t>c</w:t>
      </w:r>
      <w:r w:rsidR="00E6774D" w:rsidRPr="00DA481A">
        <w:rPr>
          <w:rFonts w:ascii="Century Gothic" w:hAnsi="Century Gothic"/>
          <w:color w:val="000000" w:themeColor="text1"/>
          <w:lang w:val="en-GB" w:eastAsia="en-GB"/>
        </w:rPr>
        <w:t xml:space="preserve">areer </w:t>
      </w:r>
      <w:r w:rsidR="00043404" w:rsidRPr="00DA481A">
        <w:rPr>
          <w:rFonts w:ascii="Century Gothic" w:hAnsi="Century Gothic"/>
          <w:color w:val="000000" w:themeColor="text1"/>
          <w:lang w:val="en-GB" w:eastAsia="en-GB"/>
        </w:rPr>
        <w:t>t</w:t>
      </w:r>
      <w:r w:rsidR="00E6774D" w:rsidRPr="00DA481A">
        <w:rPr>
          <w:rFonts w:ascii="Century Gothic" w:hAnsi="Century Gothic"/>
          <w:color w:val="000000" w:themeColor="text1"/>
          <w:lang w:val="en-GB" w:eastAsia="en-GB"/>
        </w:rPr>
        <w:t xml:space="preserve">eacher </w:t>
      </w:r>
      <w:r w:rsidR="00043404" w:rsidRPr="00DA481A">
        <w:rPr>
          <w:rFonts w:ascii="Century Gothic" w:hAnsi="Century Gothic"/>
          <w:color w:val="000000" w:themeColor="text1"/>
          <w:lang w:val="en-GB" w:eastAsia="en-GB"/>
        </w:rPr>
        <w:t>e</w:t>
      </w:r>
      <w:r w:rsidR="00E6774D" w:rsidRPr="00DA481A">
        <w:rPr>
          <w:rFonts w:ascii="Century Gothic" w:hAnsi="Century Gothic"/>
          <w:color w:val="000000" w:themeColor="text1"/>
          <w:lang w:val="en-GB" w:eastAsia="en-GB"/>
        </w:rPr>
        <w:t xml:space="preserve">ntitlement programme </w:t>
      </w:r>
      <w:r w:rsidRPr="00DA481A">
        <w:rPr>
          <w:rFonts w:ascii="Century Gothic" w:hAnsi="Century Gothic"/>
          <w:color w:val="000000" w:themeColor="text1"/>
          <w:lang w:val="en-GB" w:eastAsia="en-GB"/>
        </w:rPr>
        <w:t>is in place</w:t>
      </w:r>
    </w:p>
    <w:p w14:paraId="0B5BFE65"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the ECT’s progress is reviewed regularly, including through observations and feedback o</w:t>
      </w:r>
      <w:r w:rsidR="009F3559" w:rsidRPr="00DA481A">
        <w:rPr>
          <w:rFonts w:ascii="Century Gothic" w:hAnsi="Century Gothic"/>
          <w:color w:val="000000" w:themeColor="text1"/>
          <w:lang w:val="en-GB" w:eastAsia="en-GB"/>
        </w:rPr>
        <w:t>n</w:t>
      </w:r>
      <w:r w:rsidRPr="00DA481A">
        <w:rPr>
          <w:rFonts w:ascii="Century Gothic" w:hAnsi="Century Gothic"/>
          <w:color w:val="000000" w:themeColor="text1"/>
          <w:lang w:val="en-GB" w:eastAsia="en-GB"/>
        </w:rPr>
        <w:t xml:space="preserve"> their teaching</w:t>
      </w:r>
    </w:p>
    <w:p w14:paraId="633B3125"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that formal assessments are carried out and reports completed and sent to the appropriate body</w:t>
      </w:r>
    </w:p>
    <w:p w14:paraId="70D94B14" w14:textId="77777777" w:rsidR="00A15EAC" w:rsidRPr="00DA481A" w:rsidRDefault="00A15EAC" w:rsidP="00A15EAC">
      <w:pPr>
        <w:pStyle w:val="4Bulletedcopyblue"/>
        <w:numPr>
          <w:ilvl w:val="0"/>
          <w:numId w:val="9"/>
        </w:numPr>
        <w:rPr>
          <w:rFonts w:ascii="Century Gothic" w:hAnsi="Century Gothic"/>
          <w:color w:val="000000" w:themeColor="text1"/>
          <w:lang w:val="en-GB"/>
        </w:rPr>
      </w:pPr>
      <w:r w:rsidRPr="00DA481A">
        <w:rPr>
          <w:rFonts w:ascii="Century Gothic" w:hAnsi="Century Gothic"/>
          <w:color w:val="000000" w:themeColor="text1"/>
          <w:lang w:val="en-GB" w:eastAsia="en-GB"/>
        </w:rPr>
        <w:t>Maintain and keep accurate records of employment that will count towards the induction period</w:t>
      </w:r>
    </w:p>
    <w:p w14:paraId="5B223B05"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that all monitoring and record keeping is done in the least burdensome and most streamlined way</w:t>
      </w:r>
      <w:r w:rsidR="009F3559" w:rsidRPr="00DA481A">
        <w:rPr>
          <w:rFonts w:ascii="Century Gothic" w:hAnsi="Century Gothic"/>
          <w:color w:val="000000" w:themeColor="text1"/>
          <w:lang w:val="en-GB" w:eastAsia="en-GB"/>
        </w:rPr>
        <w:t xml:space="preserve"> possible</w:t>
      </w:r>
    </w:p>
    <w:p w14:paraId="4B3F194A"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the governing board aware of the support arrangements in place for the ECT</w:t>
      </w:r>
    </w:p>
    <w:p w14:paraId="4EBA09FE"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a recommendation to the appropriate body on whether the ECT’s performance against the relevant standards is satisfactory</w:t>
      </w:r>
    </w:p>
    <w:p w14:paraId="521E3482"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Participate in the appropriate body’s quality assurance procedures </w:t>
      </w:r>
      <w:r w:rsidR="00E533F2" w:rsidRPr="00DA481A">
        <w:rPr>
          <w:rFonts w:ascii="Century Gothic" w:hAnsi="Century Gothic"/>
          <w:color w:val="000000" w:themeColor="text1"/>
          <w:lang w:val="en-GB" w:eastAsia="en-GB"/>
        </w:rPr>
        <w:t>for</w:t>
      </w:r>
      <w:r w:rsidRPr="00DA481A">
        <w:rPr>
          <w:rFonts w:ascii="Century Gothic" w:hAnsi="Century Gothic"/>
          <w:color w:val="000000" w:themeColor="text1"/>
          <w:lang w:val="en-GB" w:eastAsia="en-GB"/>
        </w:rPr>
        <w:t xml:space="preserve"> the induction programmes</w:t>
      </w:r>
    </w:p>
    <w:p w14:paraId="6BD133E5" w14:textId="77777777" w:rsidR="00A15EAC" w:rsidRPr="00DA481A" w:rsidRDefault="00A15EAC" w:rsidP="00A15EAC">
      <w:pPr>
        <w:numPr>
          <w:ilvl w:val="0"/>
          <w:numId w:val="28"/>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Keep all relevant documentation, evidence and forms on file for 6 years</w:t>
      </w:r>
    </w:p>
    <w:p w14:paraId="53C0BBC5"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lastRenderedPageBreak/>
        <w:t>5.3 Role of the induction tutor</w:t>
      </w:r>
    </w:p>
    <w:p w14:paraId="23F05DD8"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The induction tutor will:</w:t>
      </w:r>
    </w:p>
    <w:p w14:paraId="574CE2D0"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Provide guidance and effective support to the ECT</w:t>
      </w:r>
      <w:r w:rsidR="00E204AA" w:rsidRPr="00DA481A">
        <w:rPr>
          <w:rFonts w:ascii="Century Gothic" w:hAnsi="Century Gothic"/>
          <w:color w:val="000000" w:themeColor="text1"/>
          <w:lang w:val="en-GB" w:eastAsia="en-GB"/>
        </w:rPr>
        <w:t xml:space="preserve"> </w:t>
      </w:r>
      <w:r w:rsidRPr="00DA481A">
        <w:rPr>
          <w:rFonts w:ascii="Century Gothic" w:hAnsi="Century Gothic"/>
          <w:color w:val="000000" w:themeColor="text1"/>
          <w:lang w:val="en-GB" w:eastAsia="en-GB"/>
        </w:rPr>
        <w:t>(with the appropriate body where necessary)</w:t>
      </w:r>
    </w:p>
    <w:p w14:paraId="3BA61A02"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Carry out regular progress reviews throughout the induction period</w:t>
      </w:r>
    </w:p>
    <w:p w14:paraId="6E408D66"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Undertake 2 formal assessment meetings during the induction period, coordinating input from other colleagues as appropriate</w:t>
      </w:r>
    </w:p>
    <w:p w14:paraId="3D7D779E"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Carry out progress reviews in terms where a formal assessment doesn’t occur</w:t>
      </w:r>
    </w:p>
    <w:p w14:paraId="1162C217"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Inform the ECT following progress reviews of their progress against the relevant standards, and share records with the ECT, headteacher and </w:t>
      </w:r>
      <w:r w:rsidR="00B36D49" w:rsidRPr="00DA481A">
        <w:rPr>
          <w:rFonts w:ascii="Century Gothic" w:hAnsi="Century Gothic"/>
          <w:color w:val="000000" w:themeColor="text1"/>
          <w:lang w:val="en-GB" w:eastAsia="en-GB"/>
        </w:rPr>
        <w:t>appropriate</w:t>
      </w:r>
      <w:r w:rsidRPr="00DA481A">
        <w:rPr>
          <w:rFonts w:ascii="Century Gothic" w:hAnsi="Century Gothic"/>
          <w:color w:val="000000" w:themeColor="text1"/>
          <w:lang w:val="en-GB" w:eastAsia="en-GB"/>
        </w:rPr>
        <w:t xml:space="preserve"> body</w:t>
      </w:r>
    </w:p>
    <w:p w14:paraId="14BCB018"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Inform the ECT during the formal assessment meeting of the judgements to be recorded on their formal assessment record and invite the ECT to add their own comments</w:t>
      </w:r>
    </w:p>
    <w:p w14:paraId="25BC43FD"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that the ECT’s teaching is observed and feedback is provided</w:t>
      </w:r>
    </w:p>
    <w:p w14:paraId="42890E63"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the ECT is aware of how they can raise concerns about their induction programme or their personal progress, both within and outside of the school</w:t>
      </w:r>
    </w:p>
    <w:p w14:paraId="1EF9BEC3"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Take prompt, appropriate action if the ECT appears to be having difficulties</w:t>
      </w:r>
    </w:p>
    <w:p w14:paraId="6E180DA9"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that all monitoring and record keeping is done in the least burdensome way</w:t>
      </w:r>
      <w:r w:rsidR="00E533F2" w:rsidRPr="00DA481A">
        <w:rPr>
          <w:rFonts w:ascii="Century Gothic" w:hAnsi="Century Gothic"/>
          <w:color w:val="000000" w:themeColor="text1"/>
          <w:lang w:val="en-GB" w:eastAsia="en-GB"/>
        </w:rPr>
        <w:t xml:space="preserve"> possible</w:t>
      </w:r>
      <w:r w:rsidRPr="00DA481A">
        <w:rPr>
          <w:rFonts w:ascii="Century Gothic" w:hAnsi="Century Gothic"/>
          <w:color w:val="000000" w:themeColor="text1"/>
          <w:lang w:val="en-GB" w:eastAsia="en-GB"/>
        </w:rPr>
        <w:t>, and that ECTs are not asked for any evidence that requires the creation of new work</w:t>
      </w:r>
    </w:p>
    <w:p w14:paraId="2BD10FE5" w14:textId="77777777" w:rsidR="00A15EAC" w:rsidRPr="00DA481A" w:rsidRDefault="00A15EAC" w:rsidP="00A15EAC">
      <w:pPr>
        <w:numPr>
          <w:ilvl w:val="0"/>
          <w:numId w:val="29"/>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eastAsia="en-GB"/>
        </w:rPr>
        <w:t>Notify the appropriate body after each progress review as to whether the ECT is making satisfactory progress</w:t>
      </w:r>
    </w:p>
    <w:p w14:paraId="0E5B95A4"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5.4 Role of the induction mentor</w:t>
      </w:r>
    </w:p>
    <w:p w14:paraId="6A88790F"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The induction mentor will:</w:t>
      </w:r>
    </w:p>
    <w:p w14:paraId="10993567" w14:textId="77777777" w:rsidR="00A15EAC" w:rsidRPr="00DA481A" w:rsidRDefault="00A15EAC" w:rsidP="00A15EAC">
      <w:pPr>
        <w:numPr>
          <w:ilvl w:val="0"/>
          <w:numId w:val="30"/>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Regularly meet with the ECT for structured mentor sessions to provide targeted feedback</w:t>
      </w:r>
    </w:p>
    <w:p w14:paraId="60A27B0B" w14:textId="03A6B16A" w:rsidR="00A15EAC" w:rsidRPr="00DA481A" w:rsidRDefault="00A15EAC" w:rsidP="00A15EAC">
      <w:pPr>
        <w:numPr>
          <w:ilvl w:val="0"/>
          <w:numId w:val="30"/>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Work with the ECT, and colleagues within the school who are involved in the ECT’s induction, to help make sure the ECT receives a high-quality </w:t>
      </w:r>
      <w:r w:rsidR="00043404" w:rsidRPr="00DA481A">
        <w:rPr>
          <w:rFonts w:ascii="Century Gothic" w:hAnsi="Century Gothic"/>
          <w:color w:val="000000" w:themeColor="text1"/>
          <w:lang w:val="en-GB" w:eastAsia="en-GB"/>
        </w:rPr>
        <w:t>e</w:t>
      </w:r>
      <w:r w:rsidR="00C64B1F" w:rsidRPr="00DA481A">
        <w:rPr>
          <w:rFonts w:ascii="Century Gothic" w:hAnsi="Century Gothic"/>
          <w:color w:val="000000" w:themeColor="text1"/>
          <w:lang w:val="en-GB" w:eastAsia="en-GB"/>
        </w:rPr>
        <w:t xml:space="preserve">arly </w:t>
      </w:r>
      <w:r w:rsidR="00043404" w:rsidRPr="00DA481A">
        <w:rPr>
          <w:rFonts w:ascii="Century Gothic" w:hAnsi="Century Gothic"/>
          <w:color w:val="000000" w:themeColor="text1"/>
          <w:lang w:val="en-GB" w:eastAsia="en-GB"/>
        </w:rPr>
        <w:t>c</w:t>
      </w:r>
      <w:r w:rsidR="00C64B1F" w:rsidRPr="00DA481A">
        <w:rPr>
          <w:rFonts w:ascii="Century Gothic" w:hAnsi="Century Gothic"/>
          <w:color w:val="000000" w:themeColor="text1"/>
          <w:lang w:val="en-GB" w:eastAsia="en-GB"/>
        </w:rPr>
        <w:t xml:space="preserve">areer </w:t>
      </w:r>
      <w:r w:rsidR="00043404" w:rsidRPr="00DA481A">
        <w:rPr>
          <w:rFonts w:ascii="Century Gothic" w:hAnsi="Century Gothic"/>
          <w:color w:val="000000" w:themeColor="text1"/>
          <w:lang w:val="en-GB" w:eastAsia="en-GB"/>
        </w:rPr>
        <w:t>t</w:t>
      </w:r>
      <w:r w:rsidR="00C64B1F" w:rsidRPr="00DA481A">
        <w:rPr>
          <w:rFonts w:ascii="Century Gothic" w:hAnsi="Century Gothic"/>
          <w:color w:val="000000" w:themeColor="text1"/>
          <w:lang w:val="en-GB" w:eastAsia="en-GB"/>
        </w:rPr>
        <w:t xml:space="preserve">eacher </w:t>
      </w:r>
      <w:r w:rsidR="00043404" w:rsidRPr="00DA481A">
        <w:rPr>
          <w:rFonts w:ascii="Century Gothic" w:hAnsi="Century Gothic"/>
          <w:color w:val="000000" w:themeColor="text1"/>
          <w:lang w:val="en-GB" w:eastAsia="en-GB"/>
        </w:rPr>
        <w:t>e</w:t>
      </w:r>
      <w:r w:rsidR="00C64B1F" w:rsidRPr="00DA481A">
        <w:rPr>
          <w:rFonts w:ascii="Century Gothic" w:hAnsi="Century Gothic"/>
          <w:color w:val="000000" w:themeColor="text1"/>
          <w:lang w:val="en-GB" w:eastAsia="en-GB"/>
        </w:rPr>
        <w:t>ntitlement programme</w:t>
      </w:r>
    </w:p>
    <w:p w14:paraId="545751E7" w14:textId="77777777" w:rsidR="00A15EAC" w:rsidRPr="00DA481A" w:rsidRDefault="00A15EAC" w:rsidP="00A15EAC">
      <w:pPr>
        <w:numPr>
          <w:ilvl w:val="0"/>
          <w:numId w:val="30"/>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Provide, or arrange, effective support – including subject-specific, phase-specific, coaching and/or mentoring</w:t>
      </w:r>
    </w:p>
    <w:p w14:paraId="34EDDCE4" w14:textId="77777777" w:rsidR="00A15EAC" w:rsidRPr="00DA481A" w:rsidRDefault="00A15EAC" w:rsidP="00A15EAC">
      <w:pPr>
        <w:numPr>
          <w:ilvl w:val="0"/>
          <w:numId w:val="30"/>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Act promptly and appropriately if the ECT appears to be having difficulties </w:t>
      </w:r>
    </w:p>
    <w:p w14:paraId="243FE5BB" w14:textId="77777777" w:rsidR="00A15EAC" w:rsidRPr="00DA481A" w:rsidRDefault="00A15EAC" w:rsidP="00A15EAC">
      <w:pPr>
        <w:spacing w:before="240"/>
        <w:rPr>
          <w:rFonts w:ascii="Century Gothic" w:hAnsi="Century Gothic"/>
          <w:color w:val="000000" w:themeColor="text1"/>
          <w:sz w:val="24"/>
          <w:lang w:val="en-GB" w:eastAsia="en-GB"/>
        </w:rPr>
      </w:pPr>
      <w:r w:rsidRPr="00DA481A">
        <w:rPr>
          <w:rFonts w:ascii="Century Gothic" w:hAnsi="Century Gothic"/>
          <w:b/>
          <w:bCs/>
          <w:color w:val="000000" w:themeColor="text1"/>
          <w:sz w:val="24"/>
          <w:lang w:val="en-GB" w:eastAsia="en-GB"/>
        </w:rPr>
        <w:t>5.5 Role of the governing board</w:t>
      </w:r>
    </w:p>
    <w:p w14:paraId="425CF4AD"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The governing board will:</w:t>
      </w:r>
    </w:p>
    <w:p w14:paraId="03235E1A" w14:textId="77777777" w:rsidR="00A15EAC" w:rsidRPr="00DA481A" w:rsidRDefault="00A15EAC" w:rsidP="00A15EAC">
      <w:pPr>
        <w:numPr>
          <w:ilvl w:val="0"/>
          <w:numId w:val="31"/>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the school complies with statutory guidance on ECT induction</w:t>
      </w:r>
    </w:p>
    <w:p w14:paraId="7EDDC955" w14:textId="77777777" w:rsidR="00A15EAC" w:rsidRPr="00DA481A" w:rsidRDefault="00A15EAC" w:rsidP="00A15EAC">
      <w:pPr>
        <w:numPr>
          <w:ilvl w:val="0"/>
          <w:numId w:val="31"/>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Be satisfied that the school has the capacity to support the ECT</w:t>
      </w:r>
    </w:p>
    <w:p w14:paraId="1D81C36F" w14:textId="77777777" w:rsidR="00A15EAC" w:rsidRPr="00DA481A" w:rsidRDefault="00A15EAC" w:rsidP="00A15EAC">
      <w:pPr>
        <w:numPr>
          <w:ilvl w:val="0"/>
          <w:numId w:val="31"/>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Make sure the headteacher is fulfilling their responsibility to meet the requirements of a suitable induction post</w:t>
      </w:r>
    </w:p>
    <w:p w14:paraId="163345FB" w14:textId="77777777" w:rsidR="00A15EAC" w:rsidRPr="00DA481A" w:rsidRDefault="00A15EAC" w:rsidP="00A15EAC">
      <w:pPr>
        <w:numPr>
          <w:ilvl w:val="0"/>
          <w:numId w:val="31"/>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Investigate concerns raised by the ECT as part of the school’s grievance procedures</w:t>
      </w:r>
    </w:p>
    <w:p w14:paraId="48105AB1" w14:textId="77777777" w:rsidR="00A15EAC" w:rsidRPr="00DA481A" w:rsidRDefault="00A15EAC" w:rsidP="00A15EAC">
      <w:pPr>
        <w:numPr>
          <w:ilvl w:val="0"/>
          <w:numId w:val="31"/>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 xml:space="preserve">If it </w:t>
      </w:r>
      <w:r w:rsidRPr="00DA481A">
        <w:rPr>
          <w:rFonts w:ascii="Century Gothic" w:hAnsi="Century Gothic"/>
          <w:color w:val="000000" w:themeColor="text1"/>
          <w:lang w:eastAsia="en-GB"/>
        </w:rPr>
        <w:t xml:space="preserve">has any concerns or questions, </w:t>
      </w:r>
      <w:r w:rsidRPr="00DA481A">
        <w:rPr>
          <w:rFonts w:ascii="Century Gothic" w:hAnsi="Century Gothic"/>
          <w:color w:val="000000" w:themeColor="text1"/>
          <w:lang w:val="en-GB" w:eastAsia="en-GB"/>
        </w:rPr>
        <w:t>seek guidance from the appropriate body on the quality of the induction arrangements and the roles and responsibilities of staff involved in the process</w:t>
      </w:r>
    </w:p>
    <w:p w14:paraId="36740E18" w14:textId="77777777" w:rsidR="00A15EAC" w:rsidRPr="00DA481A" w:rsidRDefault="00A15EAC" w:rsidP="00A15EAC">
      <w:pPr>
        <w:numPr>
          <w:ilvl w:val="0"/>
          <w:numId w:val="31"/>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If it wishes, request general reports on the progress of the ECT</w:t>
      </w:r>
      <w:r w:rsidRPr="00DA481A">
        <w:rPr>
          <w:rFonts w:ascii="Century Gothic" w:hAnsi="Century Gothic"/>
          <w:color w:val="000000" w:themeColor="text1"/>
          <w:lang w:eastAsia="en-GB"/>
        </w:rPr>
        <w:t xml:space="preserve"> on a termly basis</w:t>
      </w:r>
    </w:p>
    <w:p w14:paraId="1D4D87BC" w14:textId="77777777" w:rsidR="00A15EAC" w:rsidRPr="00DA481A" w:rsidRDefault="00A15EAC" w:rsidP="00A15EAC">
      <w:pPr>
        <w:rPr>
          <w:rFonts w:ascii="Century Gothic" w:eastAsia="Times New Roman" w:hAnsi="Century Gothic"/>
          <w:color w:val="000000" w:themeColor="text1"/>
          <w:lang w:val="en-GB" w:eastAsia="en-GB"/>
        </w:rPr>
      </w:pPr>
    </w:p>
    <w:p w14:paraId="425D090B" w14:textId="77777777" w:rsidR="00A15EAC" w:rsidRPr="00DA481A" w:rsidRDefault="00A15EAC" w:rsidP="00A15EAC">
      <w:pPr>
        <w:pStyle w:val="Heading1"/>
        <w:rPr>
          <w:rFonts w:ascii="Century Gothic" w:hAnsi="Century Gothic"/>
          <w:color w:val="000000" w:themeColor="text1"/>
          <w:szCs w:val="28"/>
          <w:lang w:eastAsia="en-GB"/>
        </w:rPr>
      </w:pPr>
      <w:bookmarkStart w:id="14" w:name="_Toc25836420"/>
      <w:bookmarkStart w:id="15" w:name="_Toc71203494"/>
      <w:bookmarkStart w:id="16" w:name="_Toc141193497"/>
      <w:r w:rsidRPr="00DA481A">
        <w:rPr>
          <w:rFonts w:ascii="Century Gothic" w:eastAsia="Arial" w:hAnsi="Century Gothic"/>
          <w:color w:val="000000" w:themeColor="text1"/>
          <w:szCs w:val="28"/>
          <w:lang w:eastAsia="en-GB"/>
        </w:rPr>
        <w:lastRenderedPageBreak/>
        <w:t>6. Monitoring arrangements</w:t>
      </w:r>
      <w:bookmarkEnd w:id="14"/>
      <w:bookmarkEnd w:id="15"/>
      <w:bookmarkEnd w:id="16"/>
    </w:p>
    <w:p w14:paraId="0630CB5C" w14:textId="5B6BAC38"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 xml:space="preserve">This policy will be </w:t>
      </w:r>
      <w:r w:rsidR="00311E44" w:rsidRPr="00DA481A">
        <w:rPr>
          <w:rFonts w:ascii="Century Gothic" w:hAnsi="Century Gothic"/>
          <w:color w:val="000000" w:themeColor="text1"/>
          <w:lang w:val="en-GB" w:eastAsia="en-GB"/>
        </w:rPr>
        <w:t>monitored</w:t>
      </w:r>
      <w:r w:rsidR="00985E84" w:rsidRPr="00DA481A">
        <w:rPr>
          <w:rFonts w:ascii="Century Gothic" w:hAnsi="Century Gothic"/>
          <w:color w:val="000000" w:themeColor="text1"/>
          <w:lang w:val="en-GB" w:eastAsia="en-GB"/>
        </w:rPr>
        <w:t>,</w:t>
      </w:r>
      <w:r w:rsidR="00311E44" w:rsidRPr="00DA481A">
        <w:rPr>
          <w:rFonts w:ascii="Century Gothic" w:hAnsi="Century Gothic"/>
          <w:color w:val="000000" w:themeColor="text1"/>
          <w:lang w:val="en-GB" w:eastAsia="en-GB"/>
        </w:rPr>
        <w:t xml:space="preserve"> and </w:t>
      </w:r>
      <w:r w:rsidRPr="00DA481A">
        <w:rPr>
          <w:rFonts w:ascii="Century Gothic" w:hAnsi="Century Gothic"/>
          <w:color w:val="000000" w:themeColor="text1"/>
          <w:lang w:val="en-GB" w:eastAsia="en-GB"/>
        </w:rPr>
        <w:t xml:space="preserve">reviewed </w:t>
      </w:r>
      <w:r w:rsidRPr="00DA481A">
        <w:rPr>
          <w:rFonts w:ascii="Century Gothic" w:hAnsi="Century Gothic"/>
          <w:bCs/>
          <w:color w:val="000000" w:themeColor="text1"/>
          <w:lang w:val="en-GB" w:eastAsia="en-GB"/>
        </w:rPr>
        <w:t>annually</w:t>
      </w:r>
      <w:r w:rsidRPr="00DA481A">
        <w:rPr>
          <w:rFonts w:ascii="Century Gothic" w:hAnsi="Century Gothic"/>
          <w:color w:val="000000" w:themeColor="text1"/>
          <w:lang w:val="en-GB" w:eastAsia="en-GB"/>
        </w:rPr>
        <w:t xml:space="preserve"> by</w:t>
      </w:r>
      <w:r w:rsidR="00DA481A">
        <w:rPr>
          <w:rFonts w:ascii="Century Gothic" w:hAnsi="Century Gothic"/>
          <w:color w:val="000000" w:themeColor="text1"/>
          <w:lang w:val="en-GB" w:eastAsia="en-GB"/>
        </w:rPr>
        <w:t xml:space="preserve"> Rose McDermott, Deputy Head and Induction Lead. </w:t>
      </w:r>
      <w:r w:rsidRPr="00DA481A">
        <w:rPr>
          <w:rFonts w:ascii="Century Gothic" w:hAnsi="Century Gothic"/>
          <w:color w:val="000000" w:themeColor="text1"/>
          <w:lang w:val="en-GB" w:eastAsia="en-GB"/>
        </w:rPr>
        <w:t>At every review, it will be approved by the full governing board.</w:t>
      </w:r>
    </w:p>
    <w:p w14:paraId="18F62C2A" w14:textId="77777777" w:rsidR="00A15EAC" w:rsidRPr="00DA481A" w:rsidRDefault="00A15EAC" w:rsidP="00A15EAC">
      <w:pPr>
        <w:rPr>
          <w:rFonts w:ascii="Century Gothic" w:hAnsi="Century Gothic"/>
          <w:color w:val="000000" w:themeColor="text1"/>
          <w:lang w:val="en-GB" w:eastAsia="en-GB"/>
        </w:rPr>
      </w:pPr>
    </w:p>
    <w:p w14:paraId="37091363" w14:textId="77777777" w:rsidR="00A15EAC" w:rsidRPr="00DA481A" w:rsidRDefault="00A15EAC" w:rsidP="00A15EAC">
      <w:pPr>
        <w:pStyle w:val="Heading1"/>
        <w:rPr>
          <w:rFonts w:ascii="Century Gothic" w:hAnsi="Century Gothic"/>
          <w:color w:val="000000" w:themeColor="text1"/>
          <w:szCs w:val="28"/>
          <w:lang w:eastAsia="en-GB"/>
        </w:rPr>
      </w:pPr>
      <w:bookmarkStart w:id="17" w:name="_Toc25836421"/>
      <w:bookmarkStart w:id="18" w:name="_Toc71203495"/>
      <w:bookmarkStart w:id="19" w:name="_Toc141193498"/>
      <w:r w:rsidRPr="00DA481A">
        <w:rPr>
          <w:rFonts w:ascii="Century Gothic" w:eastAsia="Arial" w:hAnsi="Century Gothic"/>
          <w:color w:val="000000" w:themeColor="text1"/>
          <w:szCs w:val="28"/>
          <w:lang w:eastAsia="en-GB"/>
        </w:rPr>
        <w:t>7. Links with other policies</w:t>
      </w:r>
      <w:bookmarkEnd w:id="17"/>
      <w:bookmarkEnd w:id="18"/>
      <w:bookmarkEnd w:id="19"/>
    </w:p>
    <w:p w14:paraId="7239856B" w14:textId="77777777" w:rsidR="00A15EAC" w:rsidRPr="00DA481A" w:rsidRDefault="00A15EAC" w:rsidP="00A15EAC">
      <w:pPr>
        <w:rPr>
          <w:rFonts w:ascii="Century Gothic" w:hAnsi="Century Gothic"/>
          <w:color w:val="000000" w:themeColor="text1"/>
          <w:lang w:val="en-GB" w:eastAsia="en-GB"/>
        </w:rPr>
      </w:pPr>
      <w:r w:rsidRPr="00DA481A">
        <w:rPr>
          <w:rFonts w:ascii="Century Gothic" w:hAnsi="Century Gothic"/>
          <w:color w:val="000000" w:themeColor="text1"/>
          <w:lang w:val="en-GB" w:eastAsia="en-GB"/>
        </w:rPr>
        <w:t>This policy links to the following policies and procedures:</w:t>
      </w:r>
    </w:p>
    <w:p w14:paraId="23C04C83" w14:textId="77777777" w:rsidR="00A15EAC" w:rsidRPr="00DA481A" w:rsidRDefault="00A15EAC" w:rsidP="00A15EAC">
      <w:pPr>
        <w:numPr>
          <w:ilvl w:val="0"/>
          <w:numId w:val="32"/>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Appraisal</w:t>
      </w:r>
    </w:p>
    <w:p w14:paraId="23441422" w14:textId="77777777" w:rsidR="00A15EAC" w:rsidRPr="00DA481A" w:rsidRDefault="00A15EAC" w:rsidP="00A15EAC">
      <w:pPr>
        <w:numPr>
          <w:ilvl w:val="0"/>
          <w:numId w:val="32"/>
        </w:numPr>
        <w:ind w:left="340" w:hanging="261"/>
        <w:rPr>
          <w:rFonts w:ascii="Century Gothic" w:eastAsia="Times New Roman" w:hAnsi="Century Gothic"/>
          <w:color w:val="000000" w:themeColor="text1"/>
          <w:lang w:val="en-GB" w:eastAsia="en-GB"/>
        </w:rPr>
      </w:pPr>
      <w:r w:rsidRPr="00DA481A">
        <w:rPr>
          <w:rFonts w:ascii="Century Gothic" w:hAnsi="Century Gothic"/>
          <w:color w:val="000000" w:themeColor="text1"/>
          <w:lang w:val="en-GB" w:eastAsia="en-GB"/>
        </w:rPr>
        <w:t>Grievance</w:t>
      </w:r>
    </w:p>
    <w:p w14:paraId="2173AD45" w14:textId="7D013577" w:rsidR="00A15EAC" w:rsidRPr="00DA481A" w:rsidRDefault="00A15EAC" w:rsidP="00DA481A">
      <w:pPr>
        <w:numPr>
          <w:ilvl w:val="0"/>
          <w:numId w:val="32"/>
        </w:numPr>
        <w:ind w:left="340" w:hanging="261"/>
        <w:rPr>
          <w:rFonts w:ascii="Century Gothic" w:hAnsi="Century Gothic"/>
          <w:color w:val="000000" w:themeColor="text1"/>
        </w:rPr>
      </w:pPr>
      <w:r w:rsidRPr="00DA481A">
        <w:rPr>
          <w:rFonts w:ascii="Century Gothic" w:hAnsi="Century Gothic"/>
          <w:color w:val="000000" w:themeColor="text1"/>
          <w:lang w:val="en-GB" w:eastAsia="en-GB"/>
        </w:rPr>
        <w:t>Pay</w:t>
      </w:r>
    </w:p>
    <w:p w14:paraId="6DCAEDF4" w14:textId="77777777" w:rsidR="00A15EAC" w:rsidRPr="00DA481A" w:rsidRDefault="00A15EAC" w:rsidP="00A15EAC">
      <w:pPr>
        <w:rPr>
          <w:rFonts w:ascii="Century Gothic" w:hAnsi="Century Gothic"/>
          <w:color w:val="000000" w:themeColor="text1"/>
        </w:rPr>
      </w:pPr>
    </w:p>
    <w:p w14:paraId="1D17AB32" w14:textId="77777777" w:rsidR="00A15EAC" w:rsidRPr="00DA481A" w:rsidRDefault="00A15EAC" w:rsidP="00A15EAC">
      <w:pPr>
        <w:rPr>
          <w:rFonts w:ascii="Century Gothic" w:hAnsi="Century Gothic"/>
          <w:color w:val="000000" w:themeColor="text1"/>
        </w:rPr>
      </w:pPr>
    </w:p>
    <w:p w14:paraId="300F52E4" w14:textId="77777777" w:rsidR="007A03B3" w:rsidRPr="00DA481A" w:rsidRDefault="007A03B3" w:rsidP="00A15EAC">
      <w:pPr>
        <w:pStyle w:val="6Abstract"/>
        <w:rPr>
          <w:rFonts w:ascii="Century Gothic" w:hAnsi="Century Gothic"/>
          <w:color w:val="000000" w:themeColor="text1"/>
        </w:rPr>
      </w:pPr>
    </w:p>
    <w:sectPr w:rsidR="007A03B3" w:rsidRPr="00DA481A" w:rsidSect="00F06022">
      <w:headerReference w:type="even" r:id="rId12"/>
      <w:headerReference w:type="default" r:id="rId13"/>
      <w:footerReference w:type="default" r:id="rId14"/>
      <w:headerReference w:type="first" r:id="rId15"/>
      <w:footerReference w:type="first" r:id="rId1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F8793" w14:textId="77777777" w:rsidR="007D4E4C" w:rsidRDefault="007D4E4C" w:rsidP="00626EDA">
      <w:r>
        <w:separator/>
      </w:r>
    </w:p>
  </w:endnote>
  <w:endnote w:type="continuationSeparator" w:id="0">
    <w:p w14:paraId="6F890B00" w14:textId="77777777" w:rsidR="007D4E4C" w:rsidRDefault="007D4E4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2603C"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A1A6F">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00DB9E70" w14:textId="77777777" w:rsidTr="001235FA">
      <w:tc>
        <w:tcPr>
          <w:tcW w:w="6379" w:type="dxa"/>
          <w:shd w:val="clear" w:color="auto" w:fill="auto"/>
        </w:tcPr>
        <w:p w14:paraId="6DFEDBBD"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40C53D"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0459EA09"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61EE4" w14:textId="77777777" w:rsidR="007D4E4C" w:rsidRDefault="007D4E4C" w:rsidP="00626EDA">
      <w:r>
        <w:separator/>
      </w:r>
    </w:p>
  </w:footnote>
  <w:footnote w:type="continuationSeparator" w:id="0">
    <w:p w14:paraId="0C7C864E" w14:textId="77777777" w:rsidR="007D4E4C" w:rsidRDefault="007D4E4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EF852" w14:textId="2DC60ADA" w:rsidR="00FE3F15" w:rsidRDefault="00732EE0">
    <w:r>
      <w:rPr>
        <w:noProof/>
      </w:rPr>
      <w:drawing>
        <wp:anchor distT="0" distB="0" distL="114300" distR="114300" simplePos="0" relativeHeight="251657216" behindDoc="1" locked="0" layoutInCell="1" allowOverlap="1" wp14:anchorId="614369DF" wp14:editId="7618BAE0">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7D4E4C">
      <w:rPr>
        <w:noProof/>
      </w:rPr>
      <w:pict w14:anchorId="724174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D7E22" w14:textId="77777777" w:rsidR="00FE3F15" w:rsidRDefault="00FE3F15"/>
  <w:p w14:paraId="6D3C93C6" w14:textId="77777777" w:rsidR="00FE3F15" w:rsidRDefault="00FE3F15"/>
  <w:p w14:paraId="47FE005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7E142" w14:textId="77777777" w:rsidR="00FE3F15" w:rsidRDefault="00FE3F15"/>
  <w:p w14:paraId="60F97F16"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52" type="#_x0000_t75" style="width:36pt;height:30pt;visibility:visible;mso-wrap-style:square" o:bullet="t">
        <v:imagedata r:id="rId1" o:title=""/>
      </v:shape>
    </w:pict>
  </w:numPicBullet>
  <w:numPicBullet w:numPicBulletId="1">
    <w:pict>
      <v:shape id="_x0000_i1553" type="#_x0000_t75" style="width:30pt;height:30pt;visibility:visible;mso-wrap-style:square" o:bullet="t">
        <v:imagedata r:id="rId2" o:title=""/>
      </v:shape>
    </w:pict>
  </w:numPicBullet>
  <w:numPicBullet w:numPicBulletId="2">
    <w:pict>
      <v:shape id="_x0000_i1554" type="#_x0000_t75" style="width:209.25pt;height:332.25pt;visibility:visible;mso-wrap-style:square" o:bullet="t">
        <v:imagedata r:id="rId3" o:title=""/>
      </v:shape>
    </w:pict>
  </w:numPicBullet>
  <w:numPicBullet w:numPicBulletId="3">
    <w:pict>
      <v:shape id="_x0000_i1555" type="#_x0000_t75" style="width:209.25pt;height:332.25pt;visibility:visible;mso-wrap-style:square" o:bullet="t">
        <v:imagedata r:id="rId4" o:title=""/>
      </v:shape>
    </w:pict>
  </w:numPicBullet>
  <w:numPicBullet w:numPicBulletId="4">
    <w:pict>
      <v:shape id="_x0000_i1556" type="#_x0000_t75" style="width:567pt;height:903.75pt;visibility:visible;mso-wrap-style:square" o:bullet="t">
        <v:imagedata r:id="rId5" o:title=""/>
      </v:shape>
    </w:pict>
  </w:numPicBullet>
  <w:numPicBullet w:numPicBulletId="5">
    <w:pict>
      <v:shape id="_x0000_i1557" type="#_x0000_t75" style="width:6.75pt;height:10.5pt;visibility:visible;mso-wrap-style:square"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F05A4B6C"/>
    <w:lvl w:ilvl="0" w:tplc="CEA2A034">
      <w:start w:val="1"/>
      <w:numFmt w:val="bullet"/>
      <w:lvlText w:val=""/>
      <w:lvlPicBulletId w:val="5"/>
      <w:lvlJc w:val="left"/>
      <w:pPr>
        <w:ind w:left="720" w:hanging="360"/>
      </w:pPr>
      <w:rPr>
        <w:rFonts w:ascii="Symbol" w:hAnsi="Symbol"/>
        <w:sz w:val="25"/>
        <w:lang w:val="en-GB"/>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1"/>
  </w:num>
  <w:num w:numId="2">
    <w:abstractNumId w:val="15"/>
  </w:num>
  <w:num w:numId="3">
    <w:abstractNumId w:val="19"/>
  </w:num>
  <w:num w:numId="4">
    <w:abstractNumId w:val="22"/>
  </w:num>
  <w:num w:numId="5">
    <w:abstractNumId w:val="13"/>
  </w:num>
  <w:num w:numId="6">
    <w:abstractNumId w:val="17"/>
  </w:num>
  <w:num w:numId="7">
    <w:abstractNumId w:val="14"/>
  </w:num>
  <w:num w:numId="8">
    <w:abstractNumId w:val="16"/>
  </w:num>
  <w:num w:numId="9">
    <w:abstractNumId w:val="23"/>
  </w:num>
  <w:num w:numId="10">
    <w:abstractNumId w:val="19"/>
  </w:num>
  <w:num w:numId="11">
    <w:abstractNumId w:val="15"/>
  </w:num>
  <w:num w:numId="12">
    <w:abstractNumId w:val="23"/>
  </w:num>
  <w:num w:numId="13">
    <w:abstractNumId w:val="21"/>
  </w:num>
  <w:num w:numId="14">
    <w:abstractNumId w:val="22"/>
  </w:num>
  <w:num w:numId="15">
    <w:abstractNumId w:val="14"/>
  </w:num>
  <w:num w:numId="16">
    <w:abstractNumId w:val="16"/>
  </w:num>
  <w:num w:numId="17">
    <w:abstractNumId w:val="22"/>
  </w:num>
  <w:num w:numId="18">
    <w:abstractNumId w:val="18"/>
  </w:num>
  <w:num w:numId="19">
    <w:abstractNumId w:val="20"/>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1"/>
  </w:num>
  <w:num w:numId="32">
    <w:abstractNumId w:val="12"/>
  </w:num>
  <w:num w:numId="3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43404"/>
    <w:rsid w:val="00082050"/>
    <w:rsid w:val="000A569F"/>
    <w:rsid w:val="000B29E5"/>
    <w:rsid w:val="000B2CE7"/>
    <w:rsid w:val="000B77E5"/>
    <w:rsid w:val="000D6968"/>
    <w:rsid w:val="000F5932"/>
    <w:rsid w:val="001201E4"/>
    <w:rsid w:val="001235FA"/>
    <w:rsid w:val="00125CDD"/>
    <w:rsid w:val="00130D25"/>
    <w:rsid w:val="001357C9"/>
    <w:rsid w:val="00141C5B"/>
    <w:rsid w:val="001566F2"/>
    <w:rsid w:val="0017045F"/>
    <w:rsid w:val="001714F0"/>
    <w:rsid w:val="0019425A"/>
    <w:rsid w:val="001978C4"/>
    <w:rsid w:val="001B14FF"/>
    <w:rsid w:val="001B2301"/>
    <w:rsid w:val="001E3CA3"/>
    <w:rsid w:val="001F2B16"/>
    <w:rsid w:val="00200695"/>
    <w:rsid w:val="00235450"/>
    <w:rsid w:val="00275D5E"/>
    <w:rsid w:val="002C5498"/>
    <w:rsid w:val="002E16E7"/>
    <w:rsid w:val="002E275A"/>
    <w:rsid w:val="002E3705"/>
    <w:rsid w:val="002E5D89"/>
    <w:rsid w:val="002F4E11"/>
    <w:rsid w:val="00311E44"/>
    <w:rsid w:val="00313871"/>
    <w:rsid w:val="003365A2"/>
    <w:rsid w:val="00337881"/>
    <w:rsid w:val="003636C8"/>
    <w:rsid w:val="00372F45"/>
    <w:rsid w:val="00375061"/>
    <w:rsid w:val="00377808"/>
    <w:rsid w:val="00377FFC"/>
    <w:rsid w:val="003B2EB4"/>
    <w:rsid w:val="003C1D02"/>
    <w:rsid w:val="003D4E0B"/>
    <w:rsid w:val="003E15B1"/>
    <w:rsid w:val="003E327A"/>
    <w:rsid w:val="003F2BD9"/>
    <w:rsid w:val="003F6230"/>
    <w:rsid w:val="00411BE9"/>
    <w:rsid w:val="00430916"/>
    <w:rsid w:val="0046077F"/>
    <w:rsid w:val="00465755"/>
    <w:rsid w:val="004750A7"/>
    <w:rsid w:val="0049118F"/>
    <w:rsid w:val="00492175"/>
    <w:rsid w:val="004944EE"/>
    <w:rsid w:val="004B05BB"/>
    <w:rsid w:val="004B3C9A"/>
    <w:rsid w:val="004F463D"/>
    <w:rsid w:val="00510ED3"/>
    <w:rsid w:val="00512916"/>
    <w:rsid w:val="00531C8C"/>
    <w:rsid w:val="00543D26"/>
    <w:rsid w:val="00564CD3"/>
    <w:rsid w:val="005663BC"/>
    <w:rsid w:val="00573834"/>
    <w:rsid w:val="00584A10"/>
    <w:rsid w:val="00590890"/>
    <w:rsid w:val="00597ED1"/>
    <w:rsid w:val="005B1D35"/>
    <w:rsid w:val="005B3CA6"/>
    <w:rsid w:val="005B4650"/>
    <w:rsid w:val="005B7ADF"/>
    <w:rsid w:val="005C1243"/>
    <w:rsid w:val="0062626B"/>
    <w:rsid w:val="00626EDA"/>
    <w:rsid w:val="00627FDE"/>
    <w:rsid w:val="00671FE5"/>
    <w:rsid w:val="00680CD2"/>
    <w:rsid w:val="00693813"/>
    <w:rsid w:val="006D70C0"/>
    <w:rsid w:val="006F1488"/>
    <w:rsid w:val="006F569D"/>
    <w:rsid w:val="006F7E8A"/>
    <w:rsid w:val="007070A1"/>
    <w:rsid w:val="00715DD1"/>
    <w:rsid w:val="007239F8"/>
    <w:rsid w:val="0072620F"/>
    <w:rsid w:val="00732EE0"/>
    <w:rsid w:val="00735B7D"/>
    <w:rsid w:val="00740AC8"/>
    <w:rsid w:val="00751B3B"/>
    <w:rsid w:val="00784AAC"/>
    <w:rsid w:val="00785BEE"/>
    <w:rsid w:val="00797003"/>
    <w:rsid w:val="007A03B3"/>
    <w:rsid w:val="007A7E05"/>
    <w:rsid w:val="007C5AC9"/>
    <w:rsid w:val="007D248C"/>
    <w:rsid w:val="007D268D"/>
    <w:rsid w:val="007D4E4C"/>
    <w:rsid w:val="007E217D"/>
    <w:rsid w:val="007E6128"/>
    <w:rsid w:val="007E6230"/>
    <w:rsid w:val="007F2F4C"/>
    <w:rsid w:val="007F788B"/>
    <w:rsid w:val="0080042F"/>
    <w:rsid w:val="00805A94"/>
    <w:rsid w:val="0080784C"/>
    <w:rsid w:val="008116A6"/>
    <w:rsid w:val="00817D31"/>
    <w:rsid w:val="008472C3"/>
    <w:rsid w:val="00866E39"/>
    <w:rsid w:val="00874C73"/>
    <w:rsid w:val="00877394"/>
    <w:rsid w:val="00887DB6"/>
    <w:rsid w:val="008941E7"/>
    <w:rsid w:val="008B69BD"/>
    <w:rsid w:val="008C1253"/>
    <w:rsid w:val="008F2ECD"/>
    <w:rsid w:val="008F744A"/>
    <w:rsid w:val="009122BB"/>
    <w:rsid w:val="00985E84"/>
    <w:rsid w:val="0099114F"/>
    <w:rsid w:val="009A267F"/>
    <w:rsid w:val="009A448F"/>
    <w:rsid w:val="009B1F2D"/>
    <w:rsid w:val="009D1474"/>
    <w:rsid w:val="009E331F"/>
    <w:rsid w:val="009F3559"/>
    <w:rsid w:val="009F66A8"/>
    <w:rsid w:val="00A048BB"/>
    <w:rsid w:val="00A15EAC"/>
    <w:rsid w:val="00A216D0"/>
    <w:rsid w:val="00A466EE"/>
    <w:rsid w:val="00A477BB"/>
    <w:rsid w:val="00A51FF6"/>
    <w:rsid w:val="00A62B49"/>
    <w:rsid w:val="00A80AA7"/>
    <w:rsid w:val="00A9147A"/>
    <w:rsid w:val="00A91D2D"/>
    <w:rsid w:val="00AA6E73"/>
    <w:rsid w:val="00AD069E"/>
    <w:rsid w:val="00AD3666"/>
    <w:rsid w:val="00AD6129"/>
    <w:rsid w:val="00AE7878"/>
    <w:rsid w:val="00B028C9"/>
    <w:rsid w:val="00B36D49"/>
    <w:rsid w:val="00B4263C"/>
    <w:rsid w:val="00B548FE"/>
    <w:rsid w:val="00B5559F"/>
    <w:rsid w:val="00B613DC"/>
    <w:rsid w:val="00B6679E"/>
    <w:rsid w:val="00B66F6B"/>
    <w:rsid w:val="00B81BD0"/>
    <w:rsid w:val="00B846C2"/>
    <w:rsid w:val="00B95867"/>
    <w:rsid w:val="00B95F60"/>
    <w:rsid w:val="00BB3CB2"/>
    <w:rsid w:val="00BC6023"/>
    <w:rsid w:val="00BE073A"/>
    <w:rsid w:val="00BE3E54"/>
    <w:rsid w:val="00C31397"/>
    <w:rsid w:val="00C4589F"/>
    <w:rsid w:val="00C4731F"/>
    <w:rsid w:val="00C51C6A"/>
    <w:rsid w:val="00C64B1F"/>
    <w:rsid w:val="00C8314B"/>
    <w:rsid w:val="00C91F46"/>
    <w:rsid w:val="00C92657"/>
    <w:rsid w:val="00CA1A6F"/>
    <w:rsid w:val="00CC51B6"/>
    <w:rsid w:val="00CC563E"/>
    <w:rsid w:val="00CD23C4"/>
    <w:rsid w:val="00CD2BC6"/>
    <w:rsid w:val="00CE5BBF"/>
    <w:rsid w:val="00CF553F"/>
    <w:rsid w:val="00D11C7E"/>
    <w:rsid w:val="00D508B4"/>
    <w:rsid w:val="00D81CCF"/>
    <w:rsid w:val="00D86752"/>
    <w:rsid w:val="00D95FA0"/>
    <w:rsid w:val="00DA43DE"/>
    <w:rsid w:val="00DA481A"/>
    <w:rsid w:val="00DA5725"/>
    <w:rsid w:val="00DA7F11"/>
    <w:rsid w:val="00DC28D6"/>
    <w:rsid w:val="00DC4C0F"/>
    <w:rsid w:val="00DC5FAC"/>
    <w:rsid w:val="00DC65EC"/>
    <w:rsid w:val="00DF66B4"/>
    <w:rsid w:val="00E00085"/>
    <w:rsid w:val="00E204AA"/>
    <w:rsid w:val="00E24FDF"/>
    <w:rsid w:val="00E3210F"/>
    <w:rsid w:val="00E36879"/>
    <w:rsid w:val="00E533F2"/>
    <w:rsid w:val="00E606E8"/>
    <w:rsid w:val="00E647DF"/>
    <w:rsid w:val="00E65A89"/>
    <w:rsid w:val="00E6774D"/>
    <w:rsid w:val="00E67CFC"/>
    <w:rsid w:val="00E763E4"/>
    <w:rsid w:val="00E82606"/>
    <w:rsid w:val="00E9136B"/>
    <w:rsid w:val="00EA0FC2"/>
    <w:rsid w:val="00EC6653"/>
    <w:rsid w:val="00EC7296"/>
    <w:rsid w:val="00EF22F0"/>
    <w:rsid w:val="00EF631F"/>
    <w:rsid w:val="00F02A4E"/>
    <w:rsid w:val="00F04A0E"/>
    <w:rsid w:val="00F06022"/>
    <w:rsid w:val="00F139E0"/>
    <w:rsid w:val="00F30F19"/>
    <w:rsid w:val="00F519DC"/>
    <w:rsid w:val="00F538FD"/>
    <w:rsid w:val="00F82220"/>
    <w:rsid w:val="00F84228"/>
    <w:rsid w:val="00F93575"/>
    <w:rsid w:val="00F9563C"/>
    <w:rsid w:val="00F97695"/>
    <w:rsid w:val="00FA4EC5"/>
    <w:rsid w:val="00FB07CC"/>
    <w:rsid w:val="00FE3F15"/>
    <w:rsid w:val="00FE4FB6"/>
    <w:rsid w:val="00FF6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F9F3DC"/>
  <w15:chartTrackingRefBased/>
  <w15:docId w15:val="{D4DA4D03-606F-4B79-A7CB-C8E63943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784AAC"/>
    <w:rPr>
      <w:rFonts w:eastAsia="MS Mincho"/>
      <w:szCs w:val="24"/>
      <w:lang w:val="en-US" w:eastAsia="en-US"/>
    </w:rPr>
  </w:style>
  <w:style w:type="character" w:styleId="CommentReference">
    <w:name w:val="annotation reference"/>
    <w:uiPriority w:val="99"/>
    <w:semiHidden/>
    <w:unhideWhenUsed/>
    <w:rsid w:val="00B028C9"/>
    <w:rPr>
      <w:sz w:val="16"/>
      <w:szCs w:val="16"/>
    </w:rPr>
  </w:style>
  <w:style w:type="paragraph" w:styleId="CommentText">
    <w:name w:val="annotation text"/>
    <w:basedOn w:val="Normal"/>
    <w:link w:val="CommentTextChar"/>
    <w:uiPriority w:val="99"/>
    <w:unhideWhenUsed/>
    <w:rsid w:val="00B028C9"/>
    <w:rPr>
      <w:szCs w:val="20"/>
    </w:rPr>
  </w:style>
  <w:style w:type="character" w:customStyle="1" w:styleId="CommentTextChar">
    <w:name w:val="Comment Text Char"/>
    <w:link w:val="CommentText"/>
    <w:uiPriority w:val="99"/>
    <w:rsid w:val="00B028C9"/>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028C9"/>
    <w:rPr>
      <w:b/>
      <w:bCs/>
    </w:rPr>
  </w:style>
  <w:style w:type="character" w:customStyle="1" w:styleId="CommentSubjectChar">
    <w:name w:val="Comment Subject Char"/>
    <w:link w:val="CommentSubject"/>
    <w:uiPriority w:val="99"/>
    <w:semiHidden/>
    <w:rsid w:val="00B028C9"/>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nduction-for-early-career-teachers-england"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ers-standards"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legislation.gov.uk/uksi/2012/1115/contents" TargetMode="External"/><Relationship Id="rId4" Type="http://schemas.openxmlformats.org/officeDocument/2006/relationships/settings" Target="settings.xml"/><Relationship Id="rId9" Type="http://schemas.openxmlformats.org/officeDocument/2006/relationships/hyperlink" Target="https://www.gov.uk/government/publications/initial-teacher-training-and-early-career-framewor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2AC74F4-385B-4309-AFA8-9D17EBD3E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1963</Words>
  <Characters>11192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13129</CharactersWithSpaces>
  <SharedDoc>false</SharedDoc>
  <HLinks>
    <vt:vector size="84" baseType="variant">
      <vt:variant>
        <vt:i4>131160</vt:i4>
      </vt:variant>
      <vt:variant>
        <vt:i4>54</vt:i4>
      </vt:variant>
      <vt:variant>
        <vt:i4>0</vt:i4>
      </vt:variant>
      <vt:variant>
        <vt:i4>5</vt:i4>
      </vt:variant>
      <vt:variant>
        <vt:lpwstr>https://www.gov.uk/government/publications/teachers-standards</vt:lpwstr>
      </vt:variant>
      <vt:variant>
        <vt:lpwstr/>
      </vt:variant>
      <vt:variant>
        <vt:i4>3473443</vt:i4>
      </vt:variant>
      <vt:variant>
        <vt:i4>51</vt:i4>
      </vt:variant>
      <vt:variant>
        <vt:i4>0</vt:i4>
      </vt:variant>
      <vt:variant>
        <vt:i4>5</vt:i4>
      </vt:variant>
      <vt:variant>
        <vt:lpwstr>https://www.legislation.gov.uk/uksi/2012/1115/contents</vt:lpwstr>
      </vt:variant>
      <vt:variant>
        <vt:lpwstr/>
      </vt:variant>
      <vt:variant>
        <vt:i4>8257641</vt:i4>
      </vt:variant>
      <vt:variant>
        <vt:i4>48</vt:i4>
      </vt:variant>
      <vt:variant>
        <vt:i4>0</vt:i4>
      </vt:variant>
      <vt:variant>
        <vt:i4>5</vt:i4>
      </vt:variant>
      <vt:variant>
        <vt:lpwstr>https://www.gov.uk/government/publications/initial-teacher-training-and-early-career-framework</vt:lpwstr>
      </vt:variant>
      <vt:variant>
        <vt:lpwstr/>
      </vt:variant>
      <vt:variant>
        <vt:i4>6422587</vt:i4>
      </vt:variant>
      <vt:variant>
        <vt:i4>45</vt:i4>
      </vt:variant>
      <vt:variant>
        <vt:i4>0</vt:i4>
      </vt:variant>
      <vt:variant>
        <vt:i4>5</vt:i4>
      </vt:variant>
      <vt:variant>
        <vt:lpwstr>https://www.gov.uk/government/publications/induction-for-early-career-teachers-england</vt:lpwstr>
      </vt:variant>
      <vt:variant>
        <vt:lpwstr/>
      </vt:variant>
      <vt:variant>
        <vt:i4>1572925</vt:i4>
      </vt:variant>
      <vt:variant>
        <vt:i4>41</vt:i4>
      </vt:variant>
      <vt:variant>
        <vt:i4>0</vt:i4>
      </vt:variant>
      <vt:variant>
        <vt:i4>5</vt:i4>
      </vt:variant>
      <vt:variant>
        <vt:lpwstr/>
      </vt:variant>
      <vt:variant>
        <vt:lpwstr>_Toc141193498</vt:lpwstr>
      </vt:variant>
      <vt:variant>
        <vt:i4>1572925</vt:i4>
      </vt:variant>
      <vt:variant>
        <vt:i4>35</vt:i4>
      </vt:variant>
      <vt:variant>
        <vt:i4>0</vt:i4>
      </vt:variant>
      <vt:variant>
        <vt:i4>5</vt:i4>
      </vt:variant>
      <vt:variant>
        <vt:lpwstr/>
      </vt:variant>
      <vt:variant>
        <vt:lpwstr>_Toc141193497</vt:lpwstr>
      </vt:variant>
      <vt:variant>
        <vt:i4>1572925</vt:i4>
      </vt:variant>
      <vt:variant>
        <vt:i4>29</vt:i4>
      </vt:variant>
      <vt:variant>
        <vt:i4>0</vt:i4>
      </vt:variant>
      <vt:variant>
        <vt:i4>5</vt:i4>
      </vt:variant>
      <vt:variant>
        <vt:lpwstr/>
      </vt:variant>
      <vt:variant>
        <vt:lpwstr>_Toc141193496</vt:lpwstr>
      </vt:variant>
      <vt:variant>
        <vt:i4>1572925</vt:i4>
      </vt:variant>
      <vt:variant>
        <vt:i4>23</vt:i4>
      </vt:variant>
      <vt:variant>
        <vt:i4>0</vt:i4>
      </vt:variant>
      <vt:variant>
        <vt:i4>5</vt:i4>
      </vt:variant>
      <vt:variant>
        <vt:lpwstr/>
      </vt:variant>
      <vt:variant>
        <vt:lpwstr>_Toc141193495</vt:lpwstr>
      </vt:variant>
      <vt:variant>
        <vt:i4>1572925</vt:i4>
      </vt:variant>
      <vt:variant>
        <vt:i4>17</vt:i4>
      </vt:variant>
      <vt:variant>
        <vt:i4>0</vt:i4>
      </vt:variant>
      <vt:variant>
        <vt:i4>5</vt:i4>
      </vt:variant>
      <vt:variant>
        <vt:lpwstr/>
      </vt:variant>
      <vt:variant>
        <vt:lpwstr>_Toc141193494</vt:lpwstr>
      </vt:variant>
      <vt:variant>
        <vt:i4>1572925</vt:i4>
      </vt:variant>
      <vt:variant>
        <vt:i4>11</vt:i4>
      </vt:variant>
      <vt:variant>
        <vt:i4>0</vt:i4>
      </vt:variant>
      <vt:variant>
        <vt:i4>5</vt:i4>
      </vt:variant>
      <vt:variant>
        <vt:lpwstr/>
      </vt:variant>
      <vt:variant>
        <vt:lpwstr>_Toc141193493</vt:lpwstr>
      </vt:variant>
      <vt:variant>
        <vt:i4>1572925</vt:i4>
      </vt:variant>
      <vt:variant>
        <vt:i4>5</vt:i4>
      </vt:variant>
      <vt:variant>
        <vt:i4>0</vt:i4>
      </vt:variant>
      <vt:variant>
        <vt:i4>5</vt:i4>
      </vt:variant>
      <vt:variant>
        <vt:lpwstr/>
      </vt:variant>
      <vt:variant>
        <vt:lpwstr>_Toc141193492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Rose McDermott</cp:lastModifiedBy>
  <cp:revision>2</cp:revision>
  <cp:lastPrinted>2018-10-02T14:43:00Z</cp:lastPrinted>
  <dcterms:created xsi:type="dcterms:W3CDTF">2025-11-13T14:17:00Z</dcterms:created>
  <dcterms:modified xsi:type="dcterms:W3CDTF">2025-11-13T14:17:00Z</dcterms:modified>
</cp:coreProperties>
</file>